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C76" w:rsidRDefault="00262BC8">
      <w:pPr>
        <w:jc w:val="center"/>
        <w:rPr>
          <w:rFonts w:eastAsia="Times New Roman"/>
          <w:b/>
          <w:bCs/>
          <w:sz w:val="28"/>
          <w:szCs w:val="28"/>
        </w:rPr>
      </w:pPr>
      <w:bookmarkStart w:id="0" w:name="_Toc131164243"/>
      <w:bookmarkStart w:id="1" w:name="_Toc509924554"/>
      <w:bookmarkStart w:id="2" w:name="_Toc3795541"/>
      <w:bookmarkStart w:id="3" w:name="_Toc508869950"/>
      <w:bookmarkStart w:id="4" w:name="_Toc4056103"/>
      <w:bookmarkStart w:id="5" w:name="_Toc66799255"/>
      <w:bookmarkStart w:id="6" w:name="_Toc100651386"/>
      <w:bookmarkStart w:id="7" w:name="_Toc66799233"/>
      <w:bookmarkStart w:id="8" w:name="_Toc4056076"/>
      <w:bookmarkStart w:id="9" w:name="_Toc509924552"/>
      <w:bookmarkStart w:id="10" w:name="_Toc508869948"/>
      <w:bookmarkStart w:id="11" w:name="_Toc4056101"/>
      <w:bookmarkStart w:id="12" w:name="_Toc3795539"/>
      <w:r>
        <w:rPr>
          <w:rFonts w:eastAsia="Times New Roman"/>
          <w:b/>
          <w:bCs/>
          <w:sz w:val="28"/>
          <w:szCs w:val="28"/>
        </w:rPr>
        <w:t>ПОЯСНИТЕЛЬНАЯ ЗАПИСКА К ОТЧЕТУ ОБ ИСПОЛНЕНИИ БЮДЖЕТА МО «МАНЖЕРОКСКОЕ СЕЛЬСКОЕ ПОСЕЛЕНИЕ» ЗА 2024 ГОД</w:t>
      </w:r>
    </w:p>
    <w:p w:rsidR="00356C76" w:rsidRDefault="00262BC8">
      <w:pPr>
        <w:pStyle w:val="1"/>
        <w:numPr>
          <w:ilvl w:val="0"/>
          <w:numId w:val="2"/>
        </w:numPr>
        <w:rPr>
          <w:color w:val="auto"/>
        </w:rPr>
      </w:pPr>
      <w:bookmarkStart w:id="13" w:name="_Toc161322859"/>
      <w:r>
        <w:rPr>
          <w:color w:val="auto"/>
        </w:rPr>
        <w:t xml:space="preserve">Основные показатели отчёта об исполнении бюджета </w:t>
      </w:r>
    </w:p>
    <w:p w:rsidR="00356C76" w:rsidRDefault="00262BC8">
      <w:pPr>
        <w:pStyle w:val="1"/>
        <w:rPr>
          <w:color w:val="auto"/>
        </w:rPr>
      </w:pPr>
      <w:r>
        <w:rPr>
          <w:color w:val="auto"/>
        </w:rPr>
        <w:t>за 2024 год</w:t>
      </w:r>
      <w:bookmarkEnd w:id="0"/>
      <w:bookmarkEnd w:id="13"/>
    </w:p>
    <w:p w:rsidR="00356C76" w:rsidRDefault="00356C76"/>
    <w:p w:rsidR="00356C76" w:rsidRDefault="00262BC8">
      <w:pPr>
        <w:autoSpaceDE w:val="0"/>
        <w:autoSpaceDN w:val="0"/>
        <w:adjustRightInd w:val="0"/>
        <w:spacing w:after="0"/>
        <w:ind w:right="-2" w:firstLine="709"/>
        <w:jc w:val="both"/>
        <w:rPr>
          <w:sz w:val="28"/>
          <w:szCs w:val="28"/>
        </w:rPr>
      </w:pPr>
      <w:r>
        <w:rPr>
          <w:sz w:val="28"/>
          <w:szCs w:val="28"/>
        </w:rPr>
        <w:t xml:space="preserve">Отчёт об исполнении бюджета за 2024 год подготовлен в соответствии со статьями 264.1 и 264.2 Бюджетного кодекса Российской Федерации, Решением Совета депутатов </w:t>
      </w:r>
      <w:proofErr w:type="spellStart"/>
      <w:r>
        <w:rPr>
          <w:sz w:val="28"/>
          <w:szCs w:val="28"/>
        </w:rPr>
        <w:t>Манжерокского</w:t>
      </w:r>
      <w:proofErr w:type="spellEnd"/>
      <w:r>
        <w:rPr>
          <w:sz w:val="28"/>
          <w:szCs w:val="28"/>
        </w:rPr>
        <w:t xml:space="preserve"> сельского поселения от 22.09.2020</w:t>
      </w:r>
      <w:r w:rsidR="00AF0F84">
        <w:rPr>
          <w:sz w:val="28"/>
          <w:szCs w:val="28"/>
        </w:rPr>
        <w:t xml:space="preserve"> </w:t>
      </w:r>
      <w:r>
        <w:rPr>
          <w:sz w:val="28"/>
          <w:szCs w:val="28"/>
        </w:rPr>
        <w:t>года</w:t>
      </w:r>
      <w:r w:rsidR="00AF0F84">
        <w:rPr>
          <w:sz w:val="28"/>
          <w:szCs w:val="28"/>
        </w:rPr>
        <w:t xml:space="preserve"> № 23-2</w:t>
      </w:r>
      <w:r>
        <w:rPr>
          <w:sz w:val="28"/>
          <w:szCs w:val="28"/>
        </w:rPr>
        <w:t xml:space="preserve"> «Об утверждении Положения о бюджетном процессе муниципального образования </w:t>
      </w:r>
      <w:proofErr w:type="spellStart"/>
      <w:r>
        <w:rPr>
          <w:sz w:val="28"/>
          <w:szCs w:val="28"/>
        </w:rPr>
        <w:t>Манжерокское</w:t>
      </w:r>
      <w:proofErr w:type="spellEnd"/>
      <w:r>
        <w:rPr>
          <w:sz w:val="28"/>
          <w:szCs w:val="28"/>
        </w:rPr>
        <w:t xml:space="preserve"> сельское поселение» (далее – Положение о бюджетном процессе).</w:t>
      </w:r>
    </w:p>
    <w:p w:rsidR="00356C76" w:rsidRDefault="00262BC8">
      <w:pPr>
        <w:autoSpaceDE w:val="0"/>
        <w:autoSpaceDN w:val="0"/>
        <w:adjustRightInd w:val="0"/>
        <w:spacing w:after="0"/>
        <w:ind w:right="-2" w:firstLine="709"/>
        <w:jc w:val="both"/>
        <w:rPr>
          <w:sz w:val="28"/>
          <w:szCs w:val="28"/>
        </w:rPr>
      </w:pPr>
      <w:r>
        <w:rPr>
          <w:sz w:val="28"/>
          <w:szCs w:val="28"/>
        </w:rPr>
        <w:t>Отчёт об исполнении бюджета за 2024 год составлен в соответствии с приказом Министерства финансов Российской Федерации от 23 декабря     2010 года № 191н «Об утверждении Инструкции о порядке составления и предоставления годовой, квартальной и месячной отчётности об исполнении бюджетов бюджетной системы Российской Федерации».</w:t>
      </w:r>
    </w:p>
    <w:p w:rsidR="00356C76" w:rsidRDefault="00262BC8">
      <w:pPr>
        <w:autoSpaceDE w:val="0"/>
        <w:autoSpaceDN w:val="0"/>
        <w:adjustRightInd w:val="0"/>
        <w:spacing w:after="0"/>
        <w:ind w:right="-2" w:firstLine="709"/>
        <w:jc w:val="both"/>
        <w:rPr>
          <w:sz w:val="28"/>
          <w:szCs w:val="28"/>
        </w:rPr>
      </w:pPr>
      <w:r>
        <w:rPr>
          <w:sz w:val="28"/>
          <w:szCs w:val="28"/>
        </w:rPr>
        <w:t>Отчёт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356C76" w:rsidRDefault="00262BC8">
      <w:pPr>
        <w:autoSpaceDE w:val="0"/>
        <w:autoSpaceDN w:val="0"/>
        <w:adjustRightInd w:val="0"/>
        <w:spacing w:after="0"/>
        <w:ind w:right="-2" w:firstLine="709"/>
        <w:jc w:val="both"/>
        <w:rPr>
          <w:sz w:val="28"/>
          <w:szCs w:val="28"/>
        </w:rPr>
      </w:pPr>
      <w:r>
        <w:rPr>
          <w:sz w:val="28"/>
          <w:szCs w:val="28"/>
        </w:rPr>
        <w:t>В соответствии с Положением о бюджетном процессе отдельными приложениями в составе отчёта об исполнении бюджета сформированы:</w:t>
      </w:r>
    </w:p>
    <w:p w:rsidR="00356C76" w:rsidRDefault="00262BC8">
      <w:pPr>
        <w:spacing w:after="0"/>
        <w:ind w:right="-2" w:firstLine="709"/>
        <w:jc w:val="both"/>
        <w:rPr>
          <w:bCs/>
          <w:snapToGrid w:val="0"/>
          <w:sz w:val="28"/>
          <w:szCs w:val="28"/>
        </w:rPr>
      </w:pPr>
      <w:r>
        <w:rPr>
          <w:bCs/>
          <w:snapToGrid w:val="0"/>
          <w:sz w:val="28"/>
          <w:szCs w:val="28"/>
        </w:rPr>
        <w:t xml:space="preserve"> - </w:t>
      </w:r>
      <w:r>
        <w:rPr>
          <w:bCs/>
          <w:sz w:val="28"/>
          <w:szCs w:val="28"/>
        </w:rPr>
        <w:t>показатели доходов бюджета за 2024 год по кодам классификации доходов бюджетов</w:t>
      </w:r>
      <w:r>
        <w:rPr>
          <w:bCs/>
          <w:snapToGrid w:val="0"/>
          <w:sz w:val="28"/>
          <w:szCs w:val="28"/>
        </w:rPr>
        <w:t>;</w:t>
      </w:r>
    </w:p>
    <w:p w:rsidR="00356C76" w:rsidRDefault="00262BC8">
      <w:pPr>
        <w:spacing w:after="0"/>
        <w:ind w:right="-2" w:firstLine="709"/>
        <w:jc w:val="both"/>
        <w:rPr>
          <w:bCs/>
          <w:snapToGrid w:val="0"/>
          <w:sz w:val="28"/>
          <w:szCs w:val="28"/>
        </w:rPr>
      </w:pPr>
      <w:r>
        <w:rPr>
          <w:bCs/>
          <w:snapToGrid w:val="0"/>
          <w:sz w:val="28"/>
          <w:szCs w:val="28"/>
        </w:rPr>
        <w:t>- п</w:t>
      </w:r>
      <w:r>
        <w:rPr>
          <w:bCs/>
          <w:sz w:val="28"/>
          <w:szCs w:val="28"/>
        </w:rPr>
        <w:t>оказатели расходов бюджета за 2024 год по разделам и подразделам классификации расходов бюджетов</w:t>
      </w:r>
      <w:r>
        <w:rPr>
          <w:bCs/>
          <w:snapToGrid w:val="0"/>
          <w:sz w:val="28"/>
          <w:szCs w:val="28"/>
        </w:rPr>
        <w:t>;</w:t>
      </w:r>
    </w:p>
    <w:p w:rsidR="00356C76" w:rsidRDefault="00262BC8">
      <w:pPr>
        <w:spacing w:after="0"/>
        <w:ind w:right="-2" w:firstLine="709"/>
        <w:jc w:val="both"/>
        <w:rPr>
          <w:bCs/>
          <w:snapToGrid w:val="0"/>
          <w:sz w:val="28"/>
          <w:szCs w:val="28"/>
        </w:rPr>
      </w:pPr>
      <w:r>
        <w:rPr>
          <w:bCs/>
          <w:snapToGrid w:val="0"/>
          <w:sz w:val="28"/>
          <w:szCs w:val="28"/>
        </w:rPr>
        <w:t xml:space="preserve"> -  </w:t>
      </w:r>
      <w:r>
        <w:rPr>
          <w:bCs/>
          <w:sz w:val="28"/>
          <w:szCs w:val="28"/>
        </w:rPr>
        <w:t>показатели расходов бюджета за 2024 год по ведомственной структуре расходов бюджета</w:t>
      </w:r>
      <w:r>
        <w:rPr>
          <w:bCs/>
          <w:snapToGrid w:val="0"/>
          <w:sz w:val="28"/>
          <w:szCs w:val="28"/>
        </w:rPr>
        <w:t>;</w:t>
      </w:r>
    </w:p>
    <w:p w:rsidR="00356C76" w:rsidRDefault="00262BC8">
      <w:pPr>
        <w:spacing w:after="0"/>
        <w:ind w:right="-2" w:firstLine="709"/>
        <w:jc w:val="both"/>
        <w:rPr>
          <w:bCs/>
          <w:snapToGrid w:val="0"/>
          <w:sz w:val="28"/>
          <w:szCs w:val="28"/>
        </w:rPr>
      </w:pPr>
      <w:r>
        <w:rPr>
          <w:bCs/>
          <w:snapToGrid w:val="0"/>
          <w:sz w:val="28"/>
          <w:szCs w:val="28"/>
        </w:rPr>
        <w:t>- п</w:t>
      </w:r>
      <w:r>
        <w:rPr>
          <w:bCs/>
          <w:sz w:val="28"/>
          <w:szCs w:val="28"/>
        </w:rPr>
        <w:t>оказатели источников финансирования дефицита бюджета за 2024 год по кодам классификации источников финансирования дефицита бюджетов.</w:t>
      </w:r>
    </w:p>
    <w:p w:rsidR="00356C76" w:rsidRDefault="00262BC8">
      <w:pPr>
        <w:autoSpaceDE w:val="0"/>
        <w:autoSpaceDN w:val="0"/>
        <w:adjustRightInd w:val="0"/>
        <w:spacing w:after="0"/>
        <w:ind w:right="-2" w:firstLine="709"/>
        <w:jc w:val="both"/>
        <w:rPr>
          <w:sz w:val="28"/>
          <w:szCs w:val="28"/>
        </w:rPr>
      </w:pPr>
      <w:r>
        <w:rPr>
          <w:sz w:val="28"/>
          <w:szCs w:val="28"/>
        </w:rPr>
        <w:t>В соответствии со статьёй 81 Бюджетного кодекса РФ к отчёту об исполнении бюджета прилагается отчёт об использовании бюджетных ассигнований резервного фонда администрации сельского поселения.</w:t>
      </w:r>
    </w:p>
    <w:p w:rsidR="00356C76" w:rsidRDefault="00356C76">
      <w:pPr>
        <w:widowControl w:val="0"/>
        <w:autoSpaceDE w:val="0"/>
        <w:autoSpaceDN w:val="0"/>
        <w:adjustRightInd w:val="0"/>
        <w:spacing w:after="0"/>
        <w:ind w:right="424" w:firstLine="709"/>
        <w:rPr>
          <w:rFonts w:eastAsia="Times New Roman"/>
          <w:sz w:val="24"/>
          <w:szCs w:val="24"/>
        </w:rPr>
      </w:pPr>
    </w:p>
    <w:p w:rsidR="00356C76" w:rsidRDefault="00356C76">
      <w:pPr>
        <w:widowControl w:val="0"/>
        <w:autoSpaceDE w:val="0"/>
        <w:autoSpaceDN w:val="0"/>
        <w:adjustRightInd w:val="0"/>
        <w:spacing w:after="0"/>
        <w:ind w:right="424" w:firstLine="709"/>
        <w:rPr>
          <w:rFonts w:eastAsia="Times New Roman"/>
          <w:sz w:val="24"/>
          <w:szCs w:val="24"/>
        </w:rPr>
      </w:pPr>
    </w:p>
    <w:p w:rsidR="00356C76" w:rsidRDefault="00356C76">
      <w:pPr>
        <w:widowControl w:val="0"/>
        <w:autoSpaceDE w:val="0"/>
        <w:autoSpaceDN w:val="0"/>
        <w:adjustRightInd w:val="0"/>
        <w:spacing w:after="0"/>
        <w:ind w:right="424" w:firstLine="709"/>
        <w:rPr>
          <w:rFonts w:eastAsia="Times New Roman"/>
          <w:sz w:val="24"/>
          <w:szCs w:val="24"/>
        </w:rPr>
      </w:pPr>
    </w:p>
    <w:p w:rsidR="00356C76" w:rsidRDefault="00356C76">
      <w:pPr>
        <w:widowControl w:val="0"/>
        <w:autoSpaceDE w:val="0"/>
        <w:autoSpaceDN w:val="0"/>
        <w:adjustRightInd w:val="0"/>
        <w:spacing w:after="0"/>
        <w:ind w:right="424" w:firstLine="709"/>
        <w:rPr>
          <w:rFonts w:eastAsia="Times New Roman"/>
          <w:sz w:val="24"/>
          <w:szCs w:val="24"/>
        </w:rPr>
      </w:pPr>
    </w:p>
    <w:p w:rsidR="00356C76" w:rsidRDefault="00356C76">
      <w:pPr>
        <w:widowControl w:val="0"/>
        <w:autoSpaceDE w:val="0"/>
        <w:autoSpaceDN w:val="0"/>
        <w:adjustRightInd w:val="0"/>
        <w:spacing w:after="0"/>
        <w:ind w:right="-2" w:firstLine="709"/>
        <w:rPr>
          <w:rFonts w:eastAsia="Times New Roman"/>
          <w:sz w:val="24"/>
          <w:szCs w:val="24"/>
        </w:rPr>
      </w:pPr>
    </w:p>
    <w:p w:rsidR="00356C76" w:rsidRDefault="00262BC8">
      <w:pPr>
        <w:widowControl w:val="0"/>
        <w:autoSpaceDE w:val="0"/>
        <w:autoSpaceDN w:val="0"/>
        <w:adjustRightInd w:val="0"/>
        <w:spacing w:after="0"/>
        <w:ind w:right="-2" w:firstLine="709"/>
        <w:rPr>
          <w:rFonts w:eastAsia="Times New Roman"/>
          <w:sz w:val="24"/>
          <w:szCs w:val="24"/>
        </w:rPr>
      </w:pPr>
      <w:r>
        <w:rPr>
          <w:rFonts w:eastAsia="Times New Roman"/>
          <w:sz w:val="24"/>
          <w:szCs w:val="24"/>
        </w:rPr>
        <w:lastRenderedPageBreak/>
        <w:t>Таблица 1</w:t>
      </w:r>
    </w:p>
    <w:p w:rsidR="00356C76" w:rsidRDefault="00262BC8">
      <w:pPr>
        <w:widowControl w:val="0"/>
        <w:autoSpaceDE w:val="0"/>
        <w:autoSpaceDN w:val="0"/>
        <w:adjustRightInd w:val="0"/>
        <w:spacing w:after="0"/>
        <w:ind w:right="424"/>
        <w:jc w:val="center"/>
        <w:rPr>
          <w:rFonts w:eastAsia="Times New Roman"/>
          <w:b/>
          <w:sz w:val="28"/>
          <w:szCs w:val="28"/>
        </w:rPr>
      </w:pPr>
      <w:r>
        <w:rPr>
          <w:rFonts w:eastAsia="Times New Roman"/>
          <w:b/>
          <w:sz w:val="28"/>
          <w:szCs w:val="28"/>
        </w:rPr>
        <w:t xml:space="preserve">Основные параметры исполнения бюджета </w:t>
      </w:r>
    </w:p>
    <w:p w:rsidR="00356C76" w:rsidRDefault="00262BC8">
      <w:pPr>
        <w:widowControl w:val="0"/>
        <w:autoSpaceDE w:val="0"/>
        <w:autoSpaceDN w:val="0"/>
        <w:adjustRightInd w:val="0"/>
        <w:spacing w:after="0"/>
        <w:ind w:right="-2"/>
        <w:rPr>
          <w:rFonts w:eastAsia="Times New Roman"/>
          <w:sz w:val="24"/>
          <w:szCs w:val="24"/>
        </w:rPr>
      </w:pPr>
      <w:r>
        <w:rPr>
          <w:rFonts w:eastAsia="Times New Roman"/>
          <w:sz w:val="24"/>
          <w:szCs w:val="24"/>
        </w:rPr>
        <w:t>(тыс. рублей)</w:t>
      </w:r>
    </w:p>
    <w:tbl>
      <w:tblPr>
        <w:tblW w:w="9496" w:type="dxa"/>
        <w:tblInd w:w="-5" w:type="dxa"/>
        <w:tblLayout w:type="fixed"/>
        <w:tblLook w:val="04A0" w:firstRow="1" w:lastRow="0" w:firstColumn="1" w:lastColumn="0" w:noHBand="0" w:noVBand="1"/>
      </w:tblPr>
      <w:tblGrid>
        <w:gridCol w:w="1441"/>
        <w:gridCol w:w="1590"/>
        <w:gridCol w:w="1560"/>
        <w:gridCol w:w="1545"/>
        <w:gridCol w:w="1470"/>
        <w:gridCol w:w="855"/>
        <w:gridCol w:w="1035"/>
      </w:tblGrid>
      <w:tr w:rsidR="00356C76">
        <w:trPr>
          <w:trHeight w:val="1260"/>
        </w:trPr>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 xml:space="preserve">Наименование </w:t>
            </w:r>
          </w:p>
        </w:tc>
        <w:tc>
          <w:tcPr>
            <w:tcW w:w="1590"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Исполнено за 2023 год</w:t>
            </w:r>
          </w:p>
        </w:tc>
        <w:tc>
          <w:tcPr>
            <w:tcW w:w="1560"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 xml:space="preserve">Утвержденный план на 2024 год  </w:t>
            </w:r>
          </w:p>
        </w:tc>
        <w:tc>
          <w:tcPr>
            <w:tcW w:w="154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Уточненный план на 2024 год</w:t>
            </w:r>
          </w:p>
        </w:tc>
        <w:tc>
          <w:tcPr>
            <w:tcW w:w="1470"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Исполнено за 2024 год</w:t>
            </w:r>
          </w:p>
        </w:tc>
        <w:tc>
          <w:tcPr>
            <w:tcW w:w="85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 исполнения уточненного плана на 2024 год</w:t>
            </w:r>
          </w:p>
        </w:tc>
        <w:tc>
          <w:tcPr>
            <w:tcW w:w="103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 исполнения к 2023 году</w:t>
            </w:r>
          </w:p>
        </w:tc>
      </w:tr>
      <w:tr w:rsidR="00356C76">
        <w:trPr>
          <w:trHeight w:val="735"/>
        </w:trPr>
        <w:tc>
          <w:tcPr>
            <w:tcW w:w="1441"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Доходы</w:t>
            </w:r>
          </w:p>
        </w:tc>
        <w:tc>
          <w:tcPr>
            <w:tcW w:w="159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133 687,33118</w:t>
            </w:r>
          </w:p>
        </w:tc>
        <w:tc>
          <w:tcPr>
            <w:tcW w:w="156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17 898,23003</w:t>
            </w:r>
          </w:p>
        </w:tc>
        <w:tc>
          <w:tcPr>
            <w:tcW w:w="15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88 006,26778</w:t>
            </w:r>
          </w:p>
        </w:tc>
        <w:tc>
          <w:tcPr>
            <w:tcW w:w="147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87 887,66842</w:t>
            </w:r>
          </w:p>
        </w:tc>
        <w:tc>
          <w:tcPr>
            <w:tcW w:w="85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99,87</w:t>
            </w:r>
          </w:p>
        </w:tc>
        <w:tc>
          <w:tcPr>
            <w:tcW w:w="103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65,74</w:t>
            </w:r>
          </w:p>
        </w:tc>
      </w:tr>
      <w:tr w:rsidR="00356C76">
        <w:trPr>
          <w:trHeight w:val="735"/>
        </w:trPr>
        <w:tc>
          <w:tcPr>
            <w:tcW w:w="1441"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Расходы</w:t>
            </w:r>
          </w:p>
        </w:tc>
        <w:tc>
          <w:tcPr>
            <w:tcW w:w="159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178 387,82004</w:t>
            </w:r>
          </w:p>
        </w:tc>
        <w:tc>
          <w:tcPr>
            <w:tcW w:w="156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17 898,23003</w:t>
            </w:r>
          </w:p>
        </w:tc>
        <w:tc>
          <w:tcPr>
            <w:tcW w:w="15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141 602,64797</w:t>
            </w:r>
          </w:p>
        </w:tc>
        <w:tc>
          <w:tcPr>
            <w:tcW w:w="147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97 529,94721</w:t>
            </w:r>
          </w:p>
        </w:tc>
        <w:tc>
          <w:tcPr>
            <w:tcW w:w="85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68,88</w:t>
            </w:r>
          </w:p>
        </w:tc>
        <w:tc>
          <w:tcPr>
            <w:tcW w:w="103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54,67</w:t>
            </w:r>
          </w:p>
        </w:tc>
      </w:tr>
      <w:tr w:rsidR="00356C76">
        <w:trPr>
          <w:trHeight w:val="735"/>
        </w:trPr>
        <w:tc>
          <w:tcPr>
            <w:tcW w:w="1441"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Дефицит (-), профицит (+)</w:t>
            </w:r>
          </w:p>
        </w:tc>
        <w:tc>
          <w:tcPr>
            <w:tcW w:w="159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-44 700,48886</w:t>
            </w:r>
          </w:p>
        </w:tc>
        <w:tc>
          <w:tcPr>
            <w:tcW w:w="156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0,0</w:t>
            </w:r>
          </w:p>
        </w:tc>
        <w:tc>
          <w:tcPr>
            <w:tcW w:w="15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-53 596,38019</w:t>
            </w:r>
          </w:p>
        </w:tc>
        <w:tc>
          <w:tcPr>
            <w:tcW w:w="147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-9 642,27879</w:t>
            </w:r>
          </w:p>
        </w:tc>
        <w:tc>
          <w:tcPr>
            <w:tcW w:w="85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х</w:t>
            </w:r>
          </w:p>
        </w:tc>
        <w:tc>
          <w:tcPr>
            <w:tcW w:w="103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х</w:t>
            </w:r>
          </w:p>
        </w:tc>
      </w:tr>
      <w:tr w:rsidR="00356C76">
        <w:trPr>
          <w:trHeight w:val="1260"/>
        </w:trPr>
        <w:tc>
          <w:tcPr>
            <w:tcW w:w="1441"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Источники финансирования дефицита бюджета</w:t>
            </w:r>
          </w:p>
        </w:tc>
        <w:tc>
          <w:tcPr>
            <w:tcW w:w="159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44 700,48886</w:t>
            </w:r>
          </w:p>
        </w:tc>
        <w:tc>
          <w:tcPr>
            <w:tcW w:w="156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0,0</w:t>
            </w:r>
          </w:p>
        </w:tc>
        <w:tc>
          <w:tcPr>
            <w:tcW w:w="15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53 596,38019</w:t>
            </w:r>
          </w:p>
        </w:tc>
        <w:tc>
          <w:tcPr>
            <w:tcW w:w="147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9 642,27879</w:t>
            </w:r>
          </w:p>
        </w:tc>
        <w:tc>
          <w:tcPr>
            <w:tcW w:w="85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х</w:t>
            </w:r>
          </w:p>
        </w:tc>
        <w:tc>
          <w:tcPr>
            <w:tcW w:w="103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х</w:t>
            </w:r>
          </w:p>
        </w:tc>
      </w:tr>
    </w:tbl>
    <w:p w:rsidR="00356C76" w:rsidRDefault="00356C76">
      <w:pPr>
        <w:spacing w:after="0" w:line="240" w:lineRule="auto"/>
        <w:ind w:right="424"/>
        <w:rPr>
          <w:rFonts w:eastAsia="Times New Roman"/>
          <w:sz w:val="28"/>
          <w:szCs w:val="28"/>
        </w:rPr>
      </w:pPr>
    </w:p>
    <w:p w:rsidR="00356C76" w:rsidRDefault="00356C76">
      <w:pPr>
        <w:widowControl w:val="0"/>
        <w:autoSpaceDE w:val="0"/>
        <w:autoSpaceDN w:val="0"/>
        <w:adjustRightInd w:val="0"/>
        <w:spacing w:after="0"/>
        <w:ind w:right="424"/>
        <w:rPr>
          <w:rFonts w:eastAsia="Times New Roman"/>
          <w:sz w:val="28"/>
          <w:szCs w:val="28"/>
        </w:rPr>
      </w:pPr>
    </w:p>
    <w:p w:rsidR="00356C76" w:rsidRDefault="00262BC8">
      <w:pPr>
        <w:widowControl w:val="0"/>
        <w:spacing w:after="0"/>
        <w:ind w:right="-2" w:firstLine="709"/>
        <w:jc w:val="both"/>
        <w:rPr>
          <w:sz w:val="28"/>
          <w:szCs w:val="28"/>
        </w:rPr>
      </w:pPr>
      <w:r>
        <w:rPr>
          <w:sz w:val="28"/>
          <w:szCs w:val="28"/>
        </w:rPr>
        <w:t xml:space="preserve">В 2024 году в бюджет поступили доходы в сумме 87 887,66842 тыс. рублей, что составляет 99,87% к плановым показателям. </w:t>
      </w:r>
    </w:p>
    <w:p w:rsidR="00356C76" w:rsidRDefault="00262BC8">
      <w:pPr>
        <w:widowControl w:val="0"/>
        <w:spacing w:after="0"/>
        <w:ind w:right="-2" w:firstLine="709"/>
        <w:jc w:val="both"/>
        <w:rPr>
          <w:sz w:val="28"/>
          <w:szCs w:val="28"/>
        </w:rPr>
      </w:pPr>
      <w:r>
        <w:rPr>
          <w:sz w:val="28"/>
          <w:szCs w:val="28"/>
        </w:rPr>
        <w:t xml:space="preserve">Расходы бюджета составили </w:t>
      </w:r>
      <w:r w:rsidR="00A21C34" w:rsidRPr="007101C1">
        <w:rPr>
          <w:sz w:val="28"/>
          <w:szCs w:val="28"/>
        </w:rPr>
        <w:t>97 529,94721</w:t>
      </w:r>
      <w:r>
        <w:rPr>
          <w:sz w:val="28"/>
          <w:szCs w:val="28"/>
        </w:rPr>
        <w:t xml:space="preserve"> тыс. рублей, что составляет 68,88% к плановым показателям. </w:t>
      </w:r>
    </w:p>
    <w:p w:rsidR="00356C76" w:rsidRDefault="00262BC8">
      <w:pPr>
        <w:widowControl w:val="0"/>
        <w:spacing w:after="0"/>
        <w:ind w:right="-2" w:firstLine="709"/>
        <w:jc w:val="both"/>
        <w:rPr>
          <w:sz w:val="28"/>
          <w:szCs w:val="28"/>
        </w:rPr>
      </w:pPr>
      <w:r>
        <w:rPr>
          <w:sz w:val="28"/>
          <w:szCs w:val="28"/>
        </w:rPr>
        <w:t xml:space="preserve">По итогам исполнения бюджета за 2024 год сложилось превышение расходов над доходами (дефицит бюджета) в сумме 9 642,27879 тыс. рублей. </w:t>
      </w:r>
    </w:p>
    <w:p w:rsidR="00356C76" w:rsidRDefault="00262BC8">
      <w:pPr>
        <w:widowControl w:val="0"/>
        <w:spacing w:after="0"/>
        <w:ind w:right="-2" w:firstLine="709"/>
        <w:jc w:val="both"/>
        <w:rPr>
          <w:sz w:val="28"/>
          <w:szCs w:val="28"/>
        </w:rPr>
      </w:pPr>
      <w:r>
        <w:rPr>
          <w:sz w:val="28"/>
          <w:szCs w:val="28"/>
        </w:rPr>
        <w:t xml:space="preserve">В течение 2024 года в Решение Совета депутатов «О бюджете муниципального образования </w:t>
      </w:r>
      <w:proofErr w:type="spellStart"/>
      <w:r>
        <w:rPr>
          <w:sz w:val="28"/>
          <w:szCs w:val="28"/>
        </w:rPr>
        <w:t>Манжерокского</w:t>
      </w:r>
      <w:proofErr w:type="spellEnd"/>
      <w:r>
        <w:rPr>
          <w:sz w:val="28"/>
          <w:szCs w:val="28"/>
        </w:rPr>
        <w:t xml:space="preserve"> сельского поселения на 2024 год и плановый период 2025 и 2026 годы» шесть раз вносились изменения, затрагивающие основные параметры бюджета.</w:t>
      </w:r>
    </w:p>
    <w:bookmarkEnd w:id="1"/>
    <w:bookmarkEnd w:id="2"/>
    <w:bookmarkEnd w:id="3"/>
    <w:bookmarkEnd w:id="4"/>
    <w:bookmarkEnd w:id="5"/>
    <w:bookmarkEnd w:id="6"/>
    <w:p w:rsidR="00356C76" w:rsidRDefault="00356C76">
      <w:pPr>
        <w:widowControl w:val="0"/>
        <w:spacing w:after="0"/>
        <w:ind w:right="424" w:firstLine="709"/>
        <w:jc w:val="both"/>
        <w:rPr>
          <w:rFonts w:eastAsia="Times New Roman"/>
          <w:sz w:val="28"/>
          <w:szCs w:val="28"/>
        </w:rPr>
      </w:pPr>
    </w:p>
    <w:p w:rsidR="00356C76" w:rsidRDefault="00262BC8">
      <w:pPr>
        <w:keepNext/>
        <w:keepLines/>
        <w:spacing w:after="0" w:line="240" w:lineRule="auto"/>
        <w:ind w:right="424"/>
        <w:jc w:val="center"/>
        <w:outlineLvl w:val="0"/>
        <w:rPr>
          <w:rStyle w:val="10"/>
          <w:color w:val="auto"/>
        </w:rPr>
      </w:pPr>
      <w:bookmarkStart w:id="14" w:name="_Toc161322860"/>
      <w:bookmarkStart w:id="15" w:name="_Toc130222730"/>
      <w:bookmarkStart w:id="16" w:name="_Toc131164244"/>
      <w:r>
        <w:rPr>
          <w:rFonts w:eastAsiaTheme="majorEastAsia"/>
          <w:b/>
          <w:bCs/>
          <w:sz w:val="32"/>
          <w:szCs w:val="32"/>
        </w:rPr>
        <w:t>2</w:t>
      </w:r>
      <w:r>
        <w:rPr>
          <w:rStyle w:val="10"/>
          <w:color w:val="auto"/>
        </w:rPr>
        <w:t xml:space="preserve">. Доходы бюджета </w:t>
      </w:r>
      <w:bookmarkEnd w:id="14"/>
      <w:bookmarkEnd w:id="15"/>
      <w:bookmarkEnd w:id="16"/>
    </w:p>
    <w:p w:rsidR="00356C76" w:rsidRDefault="00356C76"/>
    <w:p w:rsidR="00356C76" w:rsidRDefault="00262BC8">
      <w:pPr>
        <w:shd w:val="clear" w:color="auto" w:fill="FFFFFF"/>
        <w:tabs>
          <w:tab w:val="left" w:pos="993"/>
        </w:tabs>
        <w:spacing w:before="163"/>
        <w:ind w:firstLine="709"/>
        <w:jc w:val="both"/>
        <w:rPr>
          <w:spacing w:val="-2"/>
          <w:sz w:val="28"/>
          <w:szCs w:val="28"/>
        </w:rPr>
      </w:pPr>
      <w:r>
        <w:rPr>
          <w:spacing w:val="7"/>
          <w:sz w:val="28"/>
          <w:szCs w:val="28"/>
        </w:rPr>
        <w:t xml:space="preserve">В 2024 году в бюджет муниципального образования поступили доходы в сумме 87 887,66842 тыс. </w:t>
      </w:r>
      <w:r>
        <w:rPr>
          <w:bCs/>
          <w:spacing w:val="-2"/>
          <w:sz w:val="28"/>
          <w:szCs w:val="28"/>
        </w:rPr>
        <w:t xml:space="preserve">рублей.  При уточнённом плане на 2024 </w:t>
      </w:r>
      <w:r>
        <w:rPr>
          <w:bCs/>
          <w:spacing w:val="-2"/>
          <w:sz w:val="28"/>
          <w:szCs w:val="28"/>
        </w:rPr>
        <w:lastRenderedPageBreak/>
        <w:t xml:space="preserve">год в сумме </w:t>
      </w:r>
      <w:r w:rsidR="00A21C34">
        <w:rPr>
          <w:bCs/>
          <w:spacing w:val="-2"/>
          <w:sz w:val="28"/>
          <w:szCs w:val="28"/>
        </w:rPr>
        <w:t>88 006,26778</w:t>
      </w:r>
      <w:r>
        <w:rPr>
          <w:bCs/>
          <w:spacing w:val="-2"/>
          <w:sz w:val="28"/>
          <w:szCs w:val="28"/>
        </w:rPr>
        <w:t xml:space="preserve"> тыс. рублей годовые назначения исполнены на 99,87</w:t>
      </w:r>
      <w:r>
        <w:rPr>
          <w:spacing w:val="-2"/>
          <w:sz w:val="28"/>
          <w:szCs w:val="28"/>
        </w:rPr>
        <w:t xml:space="preserve">%.  </w:t>
      </w:r>
    </w:p>
    <w:p w:rsidR="00356C76" w:rsidRDefault="00262BC8">
      <w:pPr>
        <w:shd w:val="clear" w:color="auto" w:fill="FFFFFF"/>
        <w:tabs>
          <w:tab w:val="left" w:pos="993"/>
        </w:tabs>
        <w:spacing w:before="163"/>
        <w:ind w:firstLine="709"/>
        <w:jc w:val="both"/>
        <w:rPr>
          <w:spacing w:val="-2"/>
          <w:sz w:val="28"/>
          <w:szCs w:val="28"/>
        </w:rPr>
      </w:pPr>
      <w:r>
        <w:rPr>
          <w:spacing w:val="-2"/>
          <w:sz w:val="28"/>
          <w:szCs w:val="28"/>
        </w:rPr>
        <w:t>В отчётном периоде доходы бюджета сложились из:</w:t>
      </w:r>
    </w:p>
    <w:p w:rsidR="00356C76" w:rsidRDefault="00262BC8">
      <w:pPr>
        <w:numPr>
          <w:ilvl w:val="0"/>
          <w:numId w:val="3"/>
        </w:numPr>
        <w:shd w:val="clear" w:color="auto" w:fill="FFFFFF"/>
        <w:tabs>
          <w:tab w:val="clear" w:pos="1399"/>
          <w:tab w:val="left" w:pos="0"/>
          <w:tab w:val="left" w:pos="993"/>
          <w:tab w:val="left" w:pos="1134"/>
        </w:tabs>
        <w:spacing w:before="163" w:after="0"/>
        <w:ind w:left="0" w:firstLine="709"/>
        <w:jc w:val="both"/>
        <w:rPr>
          <w:spacing w:val="-2"/>
          <w:sz w:val="28"/>
          <w:szCs w:val="28"/>
        </w:rPr>
      </w:pPr>
      <w:r>
        <w:rPr>
          <w:spacing w:val="-2"/>
          <w:sz w:val="28"/>
          <w:szCs w:val="28"/>
        </w:rPr>
        <w:t xml:space="preserve">налоговых доходов, поступивших в сумме 19 431,96587 </w:t>
      </w:r>
      <w:r>
        <w:rPr>
          <w:rFonts w:eastAsia="Times New Roman"/>
          <w:sz w:val="28"/>
          <w:szCs w:val="28"/>
        </w:rPr>
        <w:t xml:space="preserve">тыс. </w:t>
      </w:r>
      <w:r>
        <w:rPr>
          <w:spacing w:val="-2"/>
          <w:sz w:val="28"/>
          <w:szCs w:val="28"/>
        </w:rPr>
        <w:t xml:space="preserve"> рублей, по отношению к 2023 году доходы увеличились на 7 357,49052 тыс. рублей. Удельный вес в структуре доходов бюджета составил 22,11%;</w:t>
      </w:r>
    </w:p>
    <w:p w:rsidR="00356C76" w:rsidRDefault="00262BC8">
      <w:pPr>
        <w:numPr>
          <w:ilvl w:val="0"/>
          <w:numId w:val="3"/>
        </w:numPr>
        <w:shd w:val="clear" w:color="auto" w:fill="FFFFFF"/>
        <w:tabs>
          <w:tab w:val="clear" w:pos="1399"/>
          <w:tab w:val="left" w:pos="0"/>
          <w:tab w:val="left" w:pos="993"/>
          <w:tab w:val="left" w:pos="1134"/>
        </w:tabs>
        <w:spacing w:before="163" w:after="0"/>
        <w:ind w:left="0" w:firstLine="709"/>
        <w:jc w:val="both"/>
        <w:rPr>
          <w:spacing w:val="-2"/>
          <w:sz w:val="28"/>
          <w:szCs w:val="28"/>
        </w:rPr>
      </w:pPr>
      <w:r>
        <w:rPr>
          <w:spacing w:val="-2"/>
          <w:sz w:val="28"/>
          <w:szCs w:val="28"/>
        </w:rPr>
        <w:t xml:space="preserve">неналоговых доходов в сумме </w:t>
      </w:r>
      <w:r>
        <w:rPr>
          <w:rFonts w:eastAsia="Times New Roman"/>
          <w:sz w:val="28"/>
          <w:szCs w:val="28"/>
        </w:rPr>
        <w:t xml:space="preserve">63 085,97252 </w:t>
      </w:r>
      <w:r>
        <w:rPr>
          <w:spacing w:val="-2"/>
          <w:sz w:val="28"/>
          <w:szCs w:val="28"/>
        </w:rPr>
        <w:t xml:space="preserve">тыс. рублей, занимающих в структуре доходов бюджета 71,78%. По отношению к 2023 году доходы сократились на </w:t>
      </w:r>
      <w:r>
        <w:rPr>
          <w:rFonts w:eastAsia="Times New Roman"/>
          <w:sz w:val="28"/>
          <w:szCs w:val="28"/>
        </w:rPr>
        <w:t xml:space="preserve">49 523,95186 </w:t>
      </w:r>
      <w:r>
        <w:rPr>
          <w:spacing w:val="-2"/>
          <w:sz w:val="28"/>
          <w:szCs w:val="28"/>
        </w:rPr>
        <w:t>тыс. рублей;</w:t>
      </w:r>
    </w:p>
    <w:p w:rsidR="00356C76" w:rsidRDefault="00262BC8">
      <w:pPr>
        <w:numPr>
          <w:ilvl w:val="0"/>
          <w:numId w:val="3"/>
        </w:numPr>
        <w:shd w:val="clear" w:color="auto" w:fill="FFFFFF"/>
        <w:tabs>
          <w:tab w:val="clear" w:pos="1399"/>
          <w:tab w:val="left" w:pos="0"/>
          <w:tab w:val="left" w:pos="993"/>
          <w:tab w:val="left" w:pos="1134"/>
        </w:tabs>
        <w:spacing w:before="163" w:after="0"/>
        <w:ind w:left="0" w:firstLine="709"/>
        <w:jc w:val="both"/>
        <w:rPr>
          <w:spacing w:val="-2"/>
          <w:sz w:val="28"/>
          <w:szCs w:val="28"/>
        </w:rPr>
      </w:pPr>
      <w:r>
        <w:rPr>
          <w:spacing w:val="-2"/>
          <w:sz w:val="28"/>
          <w:szCs w:val="28"/>
        </w:rPr>
        <w:t xml:space="preserve"> безвозмездных поступлений в сумме 5 369,73003 </w:t>
      </w:r>
      <w:r>
        <w:rPr>
          <w:rFonts w:eastAsia="Times New Roman"/>
          <w:sz w:val="28"/>
          <w:szCs w:val="28"/>
        </w:rPr>
        <w:t xml:space="preserve">тыс. </w:t>
      </w:r>
      <w:r>
        <w:rPr>
          <w:spacing w:val="-2"/>
          <w:sz w:val="28"/>
          <w:szCs w:val="28"/>
        </w:rPr>
        <w:t>рублей</w:t>
      </w:r>
      <w:r>
        <w:rPr>
          <w:sz w:val="28"/>
          <w:szCs w:val="28"/>
        </w:rPr>
        <w:t>,</w:t>
      </w:r>
      <w:r>
        <w:rPr>
          <w:spacing w:val="-2"/>
          <w:sz w:val="28"/>
          <w:szCs w:val="28"/>
        </w:rPr>
        <w:t xml:space="preserve"> занимающих 6,1</w:t>
      </w:r>
      <w:r w:rsidR="000860FA">
        <w:rPr>
          <w:spacing w:val="-2"/>
          <w:sz w:val="28"/>
          <w:szCs w:val="28"/>
        </w:rPr>
        <w:t>1</w:t>
      </w:r>
      <w:r>
        <w:rPr>
          <w:spacing w:val="-2"/>
          <w:sz w:val="28"/>
          <w:szCs w:val="28"/>
        </w:rPr>
        <w:t xml:space="preserve">% в структуре доходов бюджета. К 2023 году безвозмездные поступления сокращены на 3 633,20142 </w:t>
      </w:r>
      <w:r>
        <w:rPr>
          <w:rFonts w:eastAsia="Times New Roman"/>
          <w:sz w:val="28"/>
          <w:szCs w:val="28"/>
        </w:rPr>
        <w:t xml:space="preserve">тыс. </w:t>
      </w:r>
      <w:r>
        <w:rPr>
          <w:spacing w:val="-2"/>
          <w:sz w:val="28"/>
          <w:szCs w:val="28"/>
        </w:rPr>
        <w:t>рублей.</w:t>
      </w:r>
    </w:p>
    <w:p w:rsidR="00356C76" w:rsidRDefault="00356C76">
      <w:pPr>
        <w:shd w:val="clear" w:color="auto" w:fill="FFFFFF"/>
        <w:spacing w:after="0"/>
        <w:ind w:right="424"/>
        <w:rPr>
          <w:b/>
          <w:spacing w:val="-2"/>
          <w:sz w:val="28"/>
          <w:szCs w:val="28"/>
        </w:rPr>
      </w:pPr>
    </w:p>
    <w:p w:rsidR="00356C76" w:rsidRDefault="00262BC8">
      <w:pPr>
        <w:shd w:val="clear" w:color="auto" w:fill="FFFFFF"/>
        <w:spacing w:after="0"/>
        <w:ind w:right="-2"/>
        <w:rPr>
          <w:b/>
          <w:spacing w:val="-2"/>
          <w:sz w:val="24"/>
          <w:szCs w:val="24"/>
        </w:rPr>
      </w:pPr>
      <w:r>
        <w:rPr>
          <w:spacing w:val="-2"/>
          <w:sz w:val="24"/>
          <w:szCs w:val="24"/>
        </w:rPr>
        <w:t>Таблица 2</w:t>
      </w:r>
    </w:p>
    <w:p w:rsidR="00356C76" w:rsidRDefault="003E4951">
      <w:pPr>
        <w:shd w:val="clear" w:color="auto" w:fill="FFFFFF"/>
        <w:spacing w:before="163" w:after="0"/>
        <w:ind w:right="424"/>
        <w:jc w:val="center"/>
        <w:rPr>
          <w:b/>
          <w:spacing w:val="-2"/>
          <w:sz w:val="28"/>
          <w:szCs w:val="28"/>
        </w:rPr>
      </w:pPr>
      <w:r>
        <w:rPr>
          <w:b/>
          <w:spacing w:val="-2"/>
          <w:sz w:val="28"/>
          <w:szCs w:val="28"/>
        </w:rPr>
        <w:t>Доходы бюджета</w:t>
      </w:r>
    </w:p>
    <w:p w:rsidR="00356C76" w:rsidRDefault="00262BC8">
      <w:pPr>
        <w:shd w:val="clear" w:color="auto" w:fill="FFFFFF"/>
        <w:spacing w:after="0"/>
        <w:ind w:right="-2"/>
        <w:rPr>
          <w:spacing w:val="-2"/>
          <w:sz w:val="24"/>
          <w:szCs w:val="24"/>
        </w:rPr>
      </w:pPr>
      <w:r>
        <w:rPr>
          <w:spacing w:val="-2"/>
          <w:sz w:val="24"/>
          <w:szCs w:val="24"/>
        </w:rPr>
        <w:t xml:space="preserve"> (тыс. рублей) </w:t>
      </w:r>
    </w:p>
    <w:p w:rsidR="00356C76" w:rsidRDefault="00356C76">
      <w:pPr>
        <w:shd w:val="clear" w:color="auto" w:fill="FFFFFF"/>
        <w:spacing w:after="0"/>
        <w:ind w:right="424"/>
        <w:rPr>
          <w:spacing w:val="-2"/>
          <w:sz w:val="24"/>
          <w:szCs w:val="24"/>
        </w:rPr>
      </w:pPr>
    </w:p>
    <w:tbl>
      <w:tblPr>
        <w:tblW w:w="9493"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2978"/>
        <w:gridCol w:w="1731"/>
        <w:gridCol w:w="1701"/>
        <w:gridCol w:w="1731"/>
        <w:gridCol w:w="1398"/>
      </w:tblGrid>
      <w:tr w:rsidR="00356C76">
        <w:trPr>
          <w:trHeight w:val="255"/>
          <w:tblHeader/>
          <w:jc w:val="center"/>
        </w:trPr>
        <w:tc>
          <w:tcPr>
            <w:tcW w:w="2978" w:type="dxa"/>
            <w:shd w:val="clear" w:color="auto" w:fill="auto"/>
          </w:tcPr>
          <w:p w:rsidR="00356C76" w:rsidRDefault="00262BC8">
            <w:pPr>
              <w:ind w:right="424"/>
              <w:jc w:val="left"/>
              <w:rPr>
                <w:rFonts w:eastAsia="Times New Roman"/>
                <w:b/>
                <w:bCs/>
              </w:rPr>
            </w:pPr>
            <w:r>
              <w:rPr>
                <w:rFonts w:eastAsia="Times New Roman"/>
                <w:b/>
                <w:bCs/>
              </w:rPr>
              <w:t>Наименование</w:t>
            </w:r>
          </w:p>
        </w:tc>
        <w:tc>
          <w:tcPr>
            <w:tcW w:w="1717" w:type="dxa"/>
            <w:shd w:val="clear" w:color="auto" w:fill="auto"/>
            <w:noWrap/>
          </w:tcPr>
          <w:p w:rsidR="00356C76" w:rsidRDefault="00262BC8">
            <w:pPr>
              <w:ind w:right="424"/>
              <w:jc w:val="center"/>
              <w:rPr>
                <w:rFonts w:eastAsia="Times New Roman"/>
                <w:b/>
                <w:bCs/>
              </w:rPr>
            </w:pPr>
            <w:r>
              <w:rPr>
                <w:rFonts w:eastAsia="Times New Roman"/>
                <w:b/>
                <w:bCs/>
              </w:rPr>
              <w:t>Исполнено в 202</w:t>
            </w:r>
            <w:r>
              <w:rPr>
                <w:rFonts w:eastAsia="Times New Roman"/>
                <w:b/>
                <w:bCs/>
                <w:lang w:val="en-US"/>
              </w:rPr>
              <w:t>3</w:t>
            </w:r>
            <w:r>
              <w:rPr>
                <w:rFonts w:eastAsia="Times New Roman"/>
                <w:b/>
                <w:bCs/>
              </w:rPr>
              <w:t xml:space="preserve"> году </w:t>
            </w:r>
          </w:p>
        </w:tc>
        <w:tc>
          <w:tcPr>
            <w:tcW w:w="1701" w:type="dxa"/>
            <w:shd w:val="clear" w:color="auto" w:fill="auto"/>
            <w:noWrap/>
          </w:tcPr>
          <w:p w:rsidR="00356C76" w:rsidRDefault="00262BC8">
            <w:pPr>
              <w:ind w:right="424"/>
              <w:jc w:val="center"/>
              <w:rPr>
                <w:rFonts w:eastAsia="Times New Roman"/>
                <w:b/>
                <w:bCs/>
              </w:rPr>
            </w:pPr>
            <w:r>
              <w:rPr>
                <w:rFonts w:eastAsia="Times New Roman"/>
                <w:b/>
                <w:bCs/>
              </w:rPr>
              <w:t>План на 2024 год</w:t>
            </w:r>
          </w:p>
        </w:tc>
        <w:tc>
          <w:tcPr>
            <w:tcW w:w="1656" w:type="dxa"/>
            <w:shd w:val="clear" w:color="auto" w:fill="auto"/>
            <w:noWrap/>
          </w:tcPr>
          <w:p w:rsidR="00356C76" w:rsidRDefault="00262BC8">
            <w:pPr>
              <w:ind w:right="424"/>
              <w:jc w:val="center"/>
              <w:rPr>
                <w:rFonts w:eastAsia="Times New Roman"/>
                <w:b/>
                <w:bCs/>
              </w:rPr>
            </w:pPr>
            <w:r>
              <w:rPr>
                <w:rFonts w:eastAsia="Times New Roman"/>
                <w:b/>
                <w:bCs/>
              </w:rPr>
              <w:t xml:space="preserve">Исполнено в 2024 году </w:t>
            </w:r>
          </w:p>
        </w:tc>
        <w:tc>
          <w:tcPr>
            <w:tcW w:w="1441" w:type="dxa"/>
            <w:shd w:val="clear" w:color="auto" w:fill="auto"/>
          </w:tcPr>
          <w:p w:rsidR="00356C76" w:rsidRDefault="00262BC8">
            <w:pPr>
              <w:ind w:right="-108"/>
              <w:jc w:val="center"/>
              <w:rPr>
                <w:rFonts w:eastAsia="Times New Roman"/>
                <w:b/>
                <w:bCs/>
              </w:rPr>
            </w:pPr>
            <w:r>
              <w:rPr>
                <w:rFonts w:eastAsia="Times New Roman"/>
                <w:b/>
                <w:bCs/>
              </w:rPr>
              <w:t xml:space="preserve">% исполнения плана </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single" w:sz="4" w:space="0" w:color="auto"/>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Налог на доходы физических лиц</w:t>
            </w:r>
          </w:p>
        </w:tc>
        <w:tc>
          <w:tcPr>
            <w:tcW w:w="1717" w:type="dxa"/>
            <w:tcBorders>
              <w:top w:val="single" w:sz="4" w:space="0" w:color="auto"/>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8 949,44200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13 960,50000</w:t>
            </w:r>
          </w:p>
        </w:tc>
        <w:tc>
          <w:tcPr>
            <w:tcW w:w="1656" w:type="dxa"/>
            <w:tcBorders>
              <w:top w:val="single" w:sz="4" w:space="0" w:color="auto"/>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13 661,80240</w:t>
            </w:r>
          </w:p>
        </w:tc>
        <w:tc>
          <w:tcPr>
            <w:tcW w:w="1441"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97,86</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Налоги на совокупный доход</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2,68710</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2,68200</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99,33</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 xml:space="preserve">Налоги на имущество, в </w:t>
            </w:r>
            <w:proofErr w:type="spellStart"/>
            <w:r>
              <w:rPr>
                <w:rFonts w:eastAsia="Times New Roman"/>
              </w:rPr>
              <w:t>т.ч</w:t>
            </w:r>
            <w:proofErr w:type="spellEnd"/>
            <w:r>
              <w:rPr>
                <w:rFonts w:eastAsia="Times New Roman"/>
              </w:rPr>
              <w:t>.</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3 122,34625</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5 826,00000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5 767,48147</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99,00</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i/>
                <w:iCs/>
              </w:rPr>
            </w:pPr>
            <w:r>
              <w:rPr>
                <w:rFonts w:eastAsia="Times New Roman"/>
                <w:i/>
                <w:iCs/>
              </w:rPr>
              <w:t>Налог на имущество физических лиц</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632,06595</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782,00000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714,35809</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91,35</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rsidP="00141AD2">
            <w:pPr>
              <w:spacing w:after="0" w:line="240" w:lineRule="auto"/>
              <w:jc w:val="left"/>
              <w:rPr>
                <w:rFonts w:eastAsia="Times New Roman"/>
                <w:i/>
                <w:iCs/>
              </w:rPr>
            </w:pPr>
            <w:r>
              <w:rPr>
                <w:rFonts w:eastAsia="Times New Roman"/>
                <w:i/>
                <w:iCs/>
              </w:rPr>
              <w:t>Земельный налог</w:t>
            </w:r>
            <w:r w:rsidR="00141AD2">
              <w:rPr>
                <w:rFonts w:eastAsia="Times New Roman"/>
                <w:i/>
                <w:iCs/>
              </w:rPr>
              <w:t xml:space="preserve">, в </w:t>
            </w:r>
            <w:proofErr w:type="spellStart"/>
            <w:r w:rsidR="00141AD2">
              <w:rPr>
                <w:rFonts w:eastAsia="Times New Roman"/>
                <w:i/>
                <w:iCs/>
              </w:rPr>
              <w:t>т.ч</w:t>
            </w:r>
            <w:proofErr w:type="spellEnd"/>
            <w:r w:rsidR="00141AD2">
              <w:rPr>
                <w:rFonts w:eastAsia="Times New Roman"/>
                <w:i/>
                <w:iCs/>
              </w:rPr>
              <w:t>.:</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rsidP="003E4951">
            <w:pPr>
              <w:spacing w:after="0" w:line="240" w:lineRule="auto"/>
              <w:jc w:val="center"/>
              <w:rPr>
                <w:rFonts w:eastAsia="Times New Roman"/>
              </w:rPr>
            </w:pPr>
            <w:r w:rsidRPr="00141AD2">
              <w:rPr>
                <w:rFonts w:eastAsia="Times New Roman"/>
              </w:rPr>
              <w:t>2 490,</w:t>
            </w:r>
            <w:r w:rsidR="003E4951" w:rsidRPr="00141AD2">
              <w:rPr>
                <w:rFonts w:eastAsia="Times New Roman"/>
              </w:rPr>
              <w:t>28030</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5 044,00000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5 053,12338</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100,18</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i/>
                <w:iCs/>
              </w:rPr>
            </w:pPr>
            <w:r>
              <w:rPr>
                <w:rFonts w:eastAsia="Times New Roman"/>
                <w:i/>
                <w:iCs/>
              </w:rPr>
              <w:t>Земельный налог с организаций</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1 104,53165</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3 600,00000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3 509,91946</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97,50</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i/>
                <w:iCs/>
              </w:rPr>
            </w:pPr>
            <w:r>
              <w:rPr>
                <w:rFonts w:eastAsia="Times New Roman"/>
                <w:i/>
                <w:iCs/>
              </w:rPr>
              <w:t>Земельный налог с физических лиц</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1 385,74865</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1 444,00000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1 543,20392</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106,87</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 xml:space="preserve">Доходы от использования имущества, находящегося в государственной и муниципальной собственности, в </w:t>
            </w:r>
            <w:proofErr w:type="spellStart"/>
            <w:r>
              <w:rPr>
                <w:rFonts w:eastAsia="Times New Roman"/>
              </w:rPr>
              <w:t>т.ч</w:t>
            </w:r>
            <w:proofErr w:type="spellEnd"/>
            <w:r>
              <w:rPr>
                <w:rFonts w:eastAsia="Times New Roman"/>
              </w:rPr>
              <w:t>.</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20 294,70700</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4 436,53550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4 834,96862</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108,98</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w:t>
            </w:r>
            <w:r>
              <w:rPr>
                <w:rFonts w:eastAsia="Times New Roman"/>
              </w:rPr>
              <w:lastRenderedPageBreak/>
              <w:t>муниципальных бюджетных и автономных учреждений)</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lastRenderedPageBreak/>
              <w:t>17 295,98486</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C25390">
            <w:pPr>
              <w:spacing w:after="0" w:line="240" w:lineRule="auto"/>
              <w:jc w:val="center"/>
              <w:rPr>
                <w:rFonts w:eastAsia="Times New Roman"/>
              </w:rPr>
            </w:pPr>
            <w:r>
              <w:rPr>
                <w:rFonts w:eastAsia="Times New Roman"/>
              </w:rPr>
              <w:t>1 986,22</w:t>
            </w:r>
            <w:r w:rsidR="00262BC8">
              <w:rPr>
                <w:rFonts w:eastAsia="Times New Roman"/>
              </w:rPr>
              <w:t>550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1 798,86685</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90,57</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lastRenderedPageBreak/>
              <w:t>Прочие поступления от использования имущества, находящихся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2 998,72214</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2 450,00000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3 035,75049</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123,91</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Прочие доходы от компенсации затрат бюджетов сельских поселений</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277,91186</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320,00000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273,71248</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85,54</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Доходы от продажи материальных и нематериальных активов</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91 804,43932</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57 980,05225</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57 967,55510</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99,98</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Штрафы, санкции, возмещение ущерба</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139,27238</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110,75000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103,33014</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93,30</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Прочие неналоговые доходы</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93,59382</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-93,59382</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Итого собственные доходы без учёта безвозмездных поступлений</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b/>
                <w:bCs/>
              </w:rPr>
            </w:pPr>
            <w:r>
              <w:rPr>
                <w:rFonts w:eastAsia="Times New Roman"/>
                <w:b/>
                <w:bCs/>
              </w:rPr>
              <w:t>124 684,39973</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82 636,53775</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82 517,93839</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99,86</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 xml:space="preserve">в числе собственных доходов - налоговые доходы </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12 074,47535</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19 789,20000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19 431,96587</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98,19</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 xml:space="preserve">в числе собственных доходов - неналоговые доходы </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112 609,92438</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62 847,33775</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63 085,97252</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100,38</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Безвозмездные поступления</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b/>
                <w:bCs/>
              </w:rPr>
            </w:pPr>
            <w:r>
              <w:rPr>
                <w:rFonts w:eastAsia="Times New Roman"/>
                <w:b/>
                <w:bCs/>
              </w:rPr>
              <w:t>9 002,93145</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5 369,73003</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5 369,73003</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100,00</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56C76" w:rsidRDefault="00262BC8">
            <w:pPr>
              <w:spacing w:after="0" w:line="240" w:lineRule="auto"/>
              <w:jc w:val="left"/>
              <w:rPr>
                <w:rFonts w:eastAsia="Times New Roman"/>
              </w:rPr>
            </w:pPr>
            <w:r>
              <w:rPr>
                <w:rFonts w:eastAsia="Times New Roman"/>
              </w:rPr>
              <w:t>Дотации</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747,73100</w:t>
            </w:r>
          </w:p>
        </w:tc>
        <w:tc>
          <w:tcPr>
            <w:tcW w:w="1701" w:type="dxa"/>
            <w:tcBorders>
              <w:top w:val="nil"/>
              <w:left w:val="nil"/>
              <w:bottom w:val="single" w:sz="4" w:space="0" w:color="auto"/>
              <w:right w:val="single" w:sz="4" w:space="0" w:color="auto"/>
            </w:tcBorders>
            <w:shd w:val="clear" w:color="auto" w:fill="auto"/>
            <w:noWrap/>
          </w:tcPr>
          <w:p w:rsidR="00356C76" w:rsidRDefault="00262BC8">
            <w:pPr>
              <w:spacing w:after="0"/>
              <w:jc w:val="center"/>
            </w:pPr>
            <w:r>
              <w:rPr>
                <w:rFonts w:eastAsia="Times New Roman"/>
              </w:rPr>
              <w:t>0,00000</w:t>
            </w:r>
          </w:p>
        </w:tc>
        <w:tc>
          <w:tcPr>
            <w:tcW w:w="1656" w:type="dxa"/>
            <w:tcBorders>
              <w:top w:val="nil"/>
              <w:left w:val="nil"/>
              <w:bottom w:val="single" w:sz="4" w:space="0" w:color="auto"/>
              <w:right w:val="single" w:sz="4" w:space="0" w:color="auto"/>
            </w:tcBorders>
            <w:shd w:val="clear" w:color="auto" w:fill="auto"/>
            <w:noWrap/>
          </w:tcPr>
          <w:p w:rsidR="00356C76" w:rsidRDefault="00262BC8">
            <w:pPr>
              <w:spacing w:after="0"/>
              <w:jc w:val="center"/>
            </w:pPr>
            <w:r>
              <w:rPr>
                <w:rFonts w:eastAsia="Times New Roman"/>
              </w:rPr>
              <w:t>0,00000</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56C76" w:rsidRDefault="00262BC8">
            <w:pPr>
              <w:spacing w:after="0" w:line="240" w:lineRule="auto"/>
              <w:jc w:val="left"/>
              <w:rPr>
                <w:rFonts w:eastAsia="Times New Roman"/>
              </w:rPr>
            </w:pPr>
            <w:r>
              <w:rPr>
                <w:rFonts w:eastAsia="Times New Roman"/>
              </w:rPr>
              <w:t>Субсидии</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0,00000</w:t>
            </w:r>
          </w:p>
        </w:tc>
        <w:tc>
          <w:tcPr>
            <w:tcW w:w="1701" w:type="dxa"/>
            <w:tcBorders>
              <w:top w:val="nil"/>
              <w:left w:val="nil"/>
              <w:bottom w:val="single" w:sz="4" w:space="0" w:color="auto"/>
              <w:right w:val="single" w:sz="4" w:space="0" w:color="auto"/>
            </w:tcBorders>
            <w:shd w:val="clear" w:color="auto" w:fill="auto"/>
            <w:noWrap/>
          </w:tcPr>
          <w:p w:rsidR="00356C76" w:rsidRDefault="00262BC8">
            <w:pPr>
              <w:spacing w:after="0"/>
              <w:jc w:val="center"/>
            </w:pPr>
            <w:r>
              <w:rPr>
                <w:rFonts w:eastAsia="Times New Roman"/>
              </w:rPr>
              <w:t>0,00000</w:t>
            </w:r>
          </w:p>
        </w:tc>
        <w:tc>
          <w:tcPr>
            <w:tcW w:w="1656" w:type="dxa"/>
            <w:tcBorders>
              <w:top w:val="nil"/>
              <w:left w:val="nil"/>
              <w:bottom w:val="single" w:sz="4" w:space="0" w:color="auto"/>
              <w:right w:val="single" w:sz="4" w:space="0" w:color="auto"/>
            </w:tcBorders>
            <w:shd w:val="clear" w:color="auto" w:fill="auto"/>
            <w:noWrap/>
          </w:tcPr>
          <w:p w:rsidR="00356C76" w:rsidRDefault="00262BC8">
            <w:pPr>
              <w:spacing w:after="0"/>
              <w:jc w:val="center"/>
            </w:pPr>
            <w:r>
              <w:rPr>
                <w:rFonts w:eastAsia="Times New Roman"/>
              </w:rPr>
              <w:t>0,00000</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56C76" w:rsidRDefault="00262BC8">
            <w:pPr>
              <w:spacing w:after="0" w:line="240" w:lineRule="auto"/>
              <w:jc w:val="left"/>
              <w:rPr>
                <w:rFonts w:eastAsia="Times New Roman"/>
              </w:rPr>
            </w:pPr>
            <w:r>
              <w:rPr>
                <w:rFonts w:eastAsia="Times New Roman"/>
              </w:rPr>
              <w:t>Субвенции</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191,00000</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232,10000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232,10000</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100,00</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56C76" w:rsidRDefault="00262BC8">
            <w:pPr>
              <w:spacing w:after="0" w:line="240" w:lineRule="auto"/>
              <w:jc w:val="left"/>
              <w:rPr>
                <w:rFonts w:eastAsia="Times New Roman"/>
              </w:rPr>
            </w:pPr>
            <w:r>
              <w:rPr>
                <w:rFonts w:eastAsia="Times New Roman"/>
              </w:rPr>
              <w:t>Иные межбюджетные трансферты</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7 291,68600</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4 997,13003</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4 997,13003</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100,00</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jc w:val="center"/>
        </w:trPr>
        <w:tc>
          <w:tcPr>
            <w:tcW w:w="2978" w:type="dxa"/>
            <w:tcBorders>
              <w:top w:val="nil"/>
              <w:left w:val="single" w:sz="4" w:space="0" w:color="auto"/>
              <w:bottom w:val="single" w:sz="4" w:space="0" w:color="auto"/>
              <w:right w:val="single" w:sz="4" w:space="0" w:color="auto"/>
            </w:tcBorders>
            <w:shd w:val="clear" w:color="auto" w:fill="auto"/>
            <w:noWrap/>
            <w:vAlign w:val="bottom"/>
          </w:tcPr>
          <w:p w:rsidR="00356C76" w:rsidRDefault="00262BC8">
            <w:pPr>
              <w:spacing w:after="0" w:line="240" w:lineRule="auto"/>
              <w:jc w:val="left"/>
              <w:rPr>
                <w:rFonts w:eastAsia="Times New Roman"/>
              </w:rPr>
            </w:pPr>
            <w:r>
              <w:rPr>
                <w:rFonts w:eastAsia="Times New Roman"/>
              </w:rPr>
              <w:t>Прочие безвозмездные поступления</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1 611,85645</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147,00000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147,00000</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100,00</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jc w:val="center"/>
        </w:trPr>
        <w:tc>
          <w:tcPr>
            <w:tcW w:w="297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Возврат остатков субсидий и субвенций прошлых лет</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rPr>
            </w:pPr>
            <w:r>
              <w:rPr>
                <w:rFonts w:eastAsia="Times New Roman"/>
              </w:rPr>
              <w:t>-839,34200</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-6,50000</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-6,50000</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100,00</w:t>
            </w:r>
          </w:p>
        </w:tc>
      </w:tr>
      <w:tr w:rsidR="00356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2978"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ВСЕГО ДОХОДОВ</w:t>
            </w:r>
          </w:p>
        </w:tc>
        <w:tc>
          <w:tcPr>
            <w:tcW w:w="1717" w:type="dxa"/>
            <w:tcBorders>
              <w:top w:val="nil"/>
              <w:left w:val="nil"/>
              <w:bottom w:val="single" w:sz="4" w:space="0" w:color="auto"/>
              <w:right w:val="single" w:sz="4" w:space="0" w:color="auto"/>
            </w:tcBorders>
            <w:shd w:val="clear" w:color="000000" w:fill="FFFFFF"/>
            <w:noWrap/>
            <w:vAlign w:val="center"/>
          </w:tcPr>
          <w:p w:rsidR="00356C76" w:rsidRDefault="00262BC8">
            <w:pPr>
              <w:spacing w:after="0" w:line="240" w:lineRule="auto"/>
              <w:jc w:val="center"/>
              <w:rPr>
                <w:rFonts w:eastAsia="Times New Roman"/>
                <w:b/>
                <w:bCs/>
              </w:rPr>
            </w:pPr>
            <w:r>
              <w:rPr>
                <w:rFonts w:eastAsia="Times New Roman"/>
                <w:b/>
                <w:bCs/>
              </w:rPr>
              <w:t>133 687,33118</w:t>
            </w:r>
          </w:p>
        </w:tc>
        <w:tc>
          <w:tcPr>
            <w:tcW w:w="170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88 006,26778</w:t>
            </w:r>
          </w:p>
        </w:tc>
        <w:tc>
          <w:tcPr>
            <w:tcW w:w="165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87 887,66842</w:t>
            </w:r>
          </w:p>
        </w:tc>
        <w:tc>
          <w:tcPr>
            <w:tcW w:w="1441"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99,87</w:t>
            </w:r>
          </w:p>
        </w:tc>
      </w:tr>
    </w:tbl>
    <w:p w:rsidR="00356C76" w:rsidRDefault="00356C76">
      <w:pPr>
        <w:shd w:val="clear" w:color="auto" w:fill="FFFFFF"/>
        <w:spacing w:after="0"/>
        <w:ind w:right="424"/>
        <w:rPr>
          <w:spacing w:val="-2"/>
          <w:sz w:val="24"/>
          <w:szCs w:val="24"/>
          <w:highlight w:val="yellow"/>
        </w:rPr>
      </w:pPr>
    </w:p>
    <w:p w:rsidR="00356C76" w:rsidRDefault="00262BC8">
      <w:pPr>
        <w:ind w:right="-2" w:firstLine="708"/>
        <w:jc w:val="both"/>
        <w:rPr>
          <w:sz w:val="28"/>
          <w:szCs w:val="28"/>
        </w:rPr>
      </w:pPr>
      <w:r>
        <w:rPr>
          <w:rFonts w:ascii="Times New Roman CYR" w:hAnsi="Times New Roman CYR" w:cs="Times New Roman CYR"/>
          <w:bCs/>
          <w:sz w:val="28"/>
          <w:szCs w:val="28"/>
        </w:rPr>
        <w:t>Анализ исполнения доходной части бюджета за 2024 год в сопоставлении с первоначально утверждёнными показателями представлен в приложении 1 к пояснительной записке.</w:t>
      </w:r>
    </w:p>
    <w:p w:rsidR="00356C76" w:rsidRDefault="00262BC8">
      <w:pPr>
        <w:shd w:val="clear" w:color="auto" w:fill="FFFFFF"/>
        <w:spacing w:after="0"/>
        <w:ind w:right="-2" w:firstLine="708"/>
        <w:jc w:val="both"/>
        <w:rPr>
          <w:sz w:val="28"/>
          <w:szCs w:val="28"/>
        </w:rPr>
      </w:pPr>
      <w:r>
        <w:rPr>
          <w:rFonts w:eastAsia="Times New Roman"/>
          <w:b/>
          <w:sz w:val="28"/>
          <w:szCs w:val="28"/>
        </w:rPr>
        <w:lastRenderedPageBreak/>
        <w:t>НАЛОГОВЫЕ ДОХОДЫ</w:t>
      </w:r>
      <w:r>
        <w:rPr>
          <w:rFonts w:eastAsia="Times New Roman"/>
          <w:sz w:val="28"/>
          <w:szCs w:val="28"/>
        </w:rPr>
        <w:t xml:space="preserve"> поступили в сумме 19 431,96587 тыс. рублей, что составило 98,19% от плана на 2024 год. В 2023 году налоговые доходы поступили в сумме 12 074,47535 тыс. рублей, таким образом, поступления 2024 года выше поступлений предыдущего периода на 160,93%. </w:t>
      </w:r>
      <w:r>
        <w:rPr>
          <w:sz w:val="28"/>
          <w:szCs w:val="28"/>
        </w:rPr>
        <w:t xml:space="preserve">В структуре собственных доходов бюджета налоговые доходы составили </w:t>
      </w:r>
      <w:r w:rsidR="00835DCA" w:rsidRPr="00926DAB">
        <w:rPr>
          <w:sz w:val="28"/>
          <w:szCs w:val="28"/>
        </w:rPr>
        <w:t>23,55</w:t>
      </w:r>
      <w:r w:rsidRPr="00926DAB">
        <w:rPr>
          <w:sz w:val="28"/>
          <w:szCs w:val="28"/>
        </w:rPr>
        <w:t>%.</w:t>
      </w:r>
    </w:p>
    <w:p w:rsidR="00356C76" w:rsidRDefault="00356C76">
      <w:pPr>
        <w:spacing w:after="0"/>
        <w:ind w:right="-2" w:firstLine="708"/>
        <w:jc w:val="both"/>
        <w:rPr>
          <w:rFonts w:eastAsia="Times New Roman"/>
          <w:b/>
          <w:sz w:val="28"/>
          <w:szCs w:val="28"/>
          <w:highlight w:val="yellow"/>
        </w:rPr>
      </w:pPr>
    </w:p>
    <w:p w:rsidR="00356C76" w:rsidRDefault="00262BC8">
      <w:pPr>
        <w:spacing w:after="0"/>
        <w:ind w:right="-2" w:firstLine="708"/>
        <w:jc w:val="both"/>
        <w:rPr>
          <w:rFonts w:eastAsia="Times New Roman"/>
          <w:sz w:val="28"/>
          <w:szCs w:val="28"/>
        </w:rPr>
      </w:pPr>
      <w:r>
        <w:rPr>
          <w:rFonts w:eastAsia="Times New Roman"/>
          <w:b/>
          <w:sz w:val="28"/>
          <w:szCs w:val="28"/>
        </w:rPr>
        <w:t>Налог на доходы физических лиц</w:t>
      </w:r>
      <w:r>
        <w:rPr>
          <w:rFonts w:eastAsia="Times New Roman"/>
          <w:sz w:val="28"/>
          <w:szCs w:val="28"/>
        </w:rPr>
        <w:t>, занимающий в структуре налоговых доходов 70,31%</w:t>
      </w:r>
      <w:r w:rsidR="00835DCA">
        <w:rPr>
          <w:rFonts w:eastAsia="Times New Roman"/>
          <w:sz w:val="28"/>
          <w:szCs w:val="28"/>
        </w:rPr>
        <w:t>,</w:t>
      </w:r>
      <w:r>
        <w:rPr>
          <w:rFonts w:eastAsia="Times New Roman"/>
          <w:sz w:val="28"/>
          <w:szCs w:val="28"/>
        </w:rPr>
        <w:t xml:space="preserve"> </w:t>
      </w:r>
      <w:r>
        <w:rPr>
          <w:sz w:val="28"/>
          <w:szCs w:val="28"/>
        </w:rPr>
        <w:t xml:space="preserve">поступил в сумме 13 661,80240 тыс. рублей, что составляет 97,86% от плановых назначений 2024 года. По отношению к аналогичному периоду прошлого года наблюдается увеличение поступлений на 152,66% или на 4 712,3604 тыс. рублей. </w:t>
      </w:r>
    </w:p>
    <w:p w:rsidR="00356C76" w:rsidRDefault="00356C76">
      <w:pPr>
        <w:shd w:val="clear" w:color="auto" w:fill="FFFFFF"/>
        <w:spacing w:after="0"/>
        <w:ind w:right="-2" w:firstLine="708"/>
        <w:jc w:val="both"/>
        <w:rPr>
          <w:b/>
          <w:sz w:val="28"/>
          <w:szCs w:val="28"/>
        </w:rPr>
      </w:pPr>
    </w:p>
    <w:p w:rsidR="00356C76" w:rsidRDefault="00262BC8">
      <w:pPr>
        <w:shd w:val="clear" w:color="auto" w:fill="FFFFFF"/>
        <w:spacing w:after="0"/>
        <w:ind w:right="-2" w:firstLine="708"/>
        <w:jc w:val="both"/>
        <w:rPr>
          <w:sz w:val="28"/>
          <w:szCs w:val="28"/>
        </w:rPr>
      </w:pPr>
      <w:r>
        <w:rPr>
          <w:sz w:val="28"/>
          <w:szCs w:val="28"/>
        </w:rPr>
        <w:t xml:space="preserve">Поступление </w:t>
      </w:r>
      <w:r>
        <w:rPr>
          <w:b/>
          <w:sz w:val="28"/>
          <w:szCs w:val="28"/>
        </w:rPr>
        <w:t>налогов на имущество</w:t>
      </w:r>
      <w:r>
        <w:rPr>
          <w:sz w:val="28"/>
          <w:szCs w:val="28"/>
        </w:rPr>
        <w:t xml:space="preserve">, входящих в структуру налоговых доходов составило 5 767,48147 тыс. рублей, плановые назначения 2024 года исполнены на 99%, по отношению к аналогичному периоду 2023 года наблюдается увеличение поступлений на 184,72% или </w:t>
      </w:r>
      <w:r w:rsidR="00926DAB">
        <w:rPr>
          <w:sz w:val="28"/>
          <w:szCs w:val="28"/>
        </w:rPr>
        <w:t xml:space="preserve">на </w:t>
      </w:r>
      <w:r>
        <w:rPr>
          <w:sz w:val="28"/>
          <w:szCs w:val="28"/>
        </w:rPr>
        <w:t>2 645,13522 тыс. рублей, в том числе по налогам:</w:t>
      </w:r>
    </w:p>
    <w:p w:rsidR="00356C76" w:rsidRDefault="00262BC8">
      <w:pPr>
        <w:shd w:val="clear" w:color="auto" w:fill="FFFFFF"/>
        <w:spacing w:after="0"/>
        <w:ind w:right="-2" w:firstLine="708"/>
        <w:jc w:val="both"/>
        <w:rPr>
          <w:sz w:val="28"/>
          <w:szCs w:val="28"/>
        </w:rPr>
      </w:pPr>
      <w:r>
        <w:rPr>
          <w:sz w:val="28"/>
          <w:szCs w:val="28"/>
        </w:rPr>
        <w:t xml:space="preserve">- </w:t>
      </w:r>
      <w:r>
        <w:rPr>
          <w:b/>
          <w:sz w:val="28"/>
          <w:szCs w:val="28"/>
        </w:rPr>
        <w:t>налог на имущество физических лиц</w:t>
      </w:r>
      <w:r>
        <w:rPr>
          <w:sz w:val="28"/>
          <w:szCs w:val="28"/>
        </w:rPr>
        <w:t xml:space="preserve"> поступил в размере 714,35809 тыс. рублей, плановые назначения исполнены на 91,35%, по отношению к 2023 году поступления данного налога возросли на 113,02%</w:t>
      </w:r>
      <w:r w:rsidR="00926DAB">
        <w:rPr>
          <w:sz w:val="28"/>
          <w:szCs w:val="28"/>
        </w:rPr>
        <w:t xml:space="preserve"> или на 82,29214 тыс. рублей</w:t>
      </w:r>
      <w:r>
        <w:rPr>
          <w:sz w:val="28"/>
          <w:szCs w:val="28"/>
        </w:rPr>
        <w:t xml:space="preserve">; </w:t>
      </w:r>
    </w:p>
    <w:p w:rsidR="00356C76" w:rsidRDefault="00262BC8">
      <w:pPr>
        <w:spacing w:after="0"/>
        <w:ind w:right="-2" w:firstLine="708"/>
        <w:jc w:val="both"/>
        <w:rPr>
          <w:rFonts w:eastAsia="Times New Roman"/>
          <w:sz w:val="29"/>
          <w:szCs w:val="29"/>
        </w:rPr>
      </w:pPr>
      <w:r>
        <w:rPr>
          <w:sz w:val="28"/>
          <w:szCs w:val="28"/>
        </w:rPr>
        <w:t xml:space="preserve">- </w:t>
      </w:r>
      <w:r>
        <w:rPr>
          <w:b/>
          <w:sz w:val="28"/>
          <w:szCs w:val="28"/>
        </w:rPr>
        <w:t>земельный налог</w:t>
      </w:r>
      <w:r>
        <w:rPr>
          <w:sz w:val="28"/>
          <w:szCs w:val="28"/>
        </w:rPr>
        <w:t xml:space="preserve"> поступил в размере 5 053,12338 тыс. рублей, что составляет 100,18% от плана на 2024 год, по отношению к 2023 году отмечено увеличение поступлений данного налога на 202,91% или на 2 562,84308 тыс. рублей</w:t>
      </w:r>
      <w:r>
        <w:rPr>
          <w:rFonts w:eastAsia="Times New Roman"/>
          <w:sz w:val="29"/>
          <w:szCs w:val="29"/>
        </w:rPr>
        <w:t xml:space="preserve">. </w:t>
      </w:r>
    </w:p>
    <w:p w:rsidR="00356C76" w:rsidRDefault="00262BC8">
      <w:pPr>
        <w:spacing w:before="240" w:after="0"/>
        <w:ind w:right="-2" w:firstLine="708"/>
        <w:jc w:val="both"/>
        <w:rPr>
          <w:sz w:val="28"/>
          <w:szCs w:val="28"/>
        </w:rPr>
      </w:pPr>
      <w:r>
        <w:rPr>
          <w:rFonts w:eastAsia="Times New Roman"/>
          <w:b/>
          <w:sz w:val="28"/>
          <w:szCs w:val="28"/>
        </w:rPr>
        <w:t>НЕНАЛОГОВЫЕ ДОХОДЫ</w:t>
      </w:r>
      <w:r>
        <w:rPr>
          <w:rFonts w:eastAsia="Times New Roman"/>
          <w:sz w:val="28"/>
          <w:szCs w:val="28"/>
        </w:rPr>
        <w:t xml:space="preserve"> в 2024 году поступили в сумме 63 085,97252 тыс. рублей, плановые назначения 2024 года выполнены на 100,38%. </w:t>
      </w:r>
      <w:r>
        <w:rPr>
          <w:sz w:val="28"/>
          <w:szCs w:val="28"/>
        </w:rPr>
        <w:t xml:space="preserve">В структуре собственных доходов бюджета сельского поселения неналоговые доходы составили 76,45%. </w:t>
      </w:r>
      <w:r>
        <w:rPr>
          <w:rFonts w:eastAsia="Times New Roman"/>
          <w:sz w:val="28"/>
          <w:szCs w:val="28"/>
        </w:rPr>
        <w:t xml:space="preserve">По отношению к 2023 году, отмечен спад поступлений неналоговых доходов на </w:t>
      </w:r>
      <w:r w:rsidR="00AD475D">
        <w:rPr>
          <w:rFonts w:eastAsia="Times New Roman"/>
          <w:sz w:val="28"/>
          <w:szCs w:val="28"/>
        </w:rPr>
        <w:t>43,98</w:t>
      </w:r>
      <w:r>
        <w:rPr>
          <w:rFonts w:eastAsia="Times New Roman"/>
          <w:sz w:val="28"/>
          <w:szCs w:val="28"/>
        </w:rPr>
        <w:t>%</w:t>
      </w:r>
      <w:r w:rsidR="00926DAB">
        <w:rPr>
          <w:rFonts w:eastAsia="Times New Roman"/>
          <w:sz w:val="28"/>
          <w:szCs w:val="28"/>
        </w:rPr>
        <w:t xml:space="preserve"> или на 49</w:t>
      </w:r>
      <w:r w:rsidR="00152234">
        <w:rPr>
          <w:rFonts w:eastAsia="Times New Roman"/>
          <w:sz w:val="28"/>
          <w:szCs w:val="28"/>
        </w:rPr>
        <w:t> 523,95186 тыс. рублей</w:t>
      </w:r>
      <w:r>
        <w:rPr>
          <w:rFonts w:eastAsia="Times New Roman"/>
          <w:sz w:val="28"/>
          <w:szCs w:val="28"/>
        </w:rPr>
        <w:t>.</w:t>
      </w:r>
      <w:r>
        <w:rPr>
          <w:sz w:val="28"/>
          <w:szCs w:val="28"/>
        </w:rPr>
        <w:t xml:space="preserve"> </w:t>
      </w:r>
    </w:p>
    <w:p w:rsidR="00356C76" w:rsidRDefault="00356C76">
      <w:pPr>
        <w:spacing w:after="0"/>
        <w:ind w:right="-2" w:firstLine="708"/>
        <w:jc w:val="both"/>
        <w:rPr>
          <w:b/>
          <w:sz w:val="28"/>
          <w:szCs w:val="28"/>
        </w:rPr>
      </w:pPr>
    </w:p>
    <w:p w:rsidR="00356C76" w:rsidRDefault="00262BC8">
      <w:pPr>
        <w:spacing w:after="0"/>
        <w:ind w:right="-2" w:firstLine="708"/>
        <w:jc w:val="both"/>
        <w:rPr>
          <w:sz w:val="28"/>
          <w:szCs w:val="28"/>
        </w:rPr>
      </w:pPr>
      <w:r>
        <w:rPr>
          <w:b/>
          <w:sz w:val="28"/>
          <w:szCs w:val="28"/>
        </w:rPr>
        <w:t>Доходы от имущества, находящегося в муниципальной собственности</w:t>
      </w:r>
      <w:r>
        <w:rPr>
          <w:sz w:val="28"/>
          <w:szCs w:val="28"/>
        </w:rPr>
        <w:t xml:space="preserve"> поступили в сумме </w:t>
      </w:r>
      <w:r w:rsidR="00152234">
        <w:rPr>
          <w:sz w:val="28"/>
          <w:szCs w:val="28"/>
        </w:rPr>
        <w:t>4 834,96862</w:t>
      </w:r>
      <w:r>
        <w:rPr>
          <w:sz w:val="28"/>
          <w:szCs w:val="28"/>
        </w:rPr>
        <w:t xml:space="preserve"> ты</w:t>
      </w:r>
      <w:r w:rsidR="00AF0F84">
        <w:rPr>
          <w:sz w:val="28"/>
          <w:szCs w:val="28"/>
        </w:rPr>
        <w:t xml:space="preserve">с. рублей, что составляет </w:t>
      </w:r>
      <w:r w:rsidR="00152234">
        <w:rPr>
          <w:sz w:val="28"/>
          <w:szCs w:val="28"/>
        </w:rPr>
        <w:t>108,98</w:t>
      </w:r>
      <w:r>
        <w:rPr>
          <w:sz w:val="28"/>
          <w:szCs w:val="28"/>
        </w:rPr>
        <w:t>% от плана, установленного на 202</w:t>
      </w:r>
      <w:r w:rsidR="00152234">
        <w:rPr>
          <w:sz w:val="28"/>
          <w:szCs w:val="28"/>
        </w:rPr>
        <w:t>4</w:t>
      </w:r>
      <w:r>
        <w:rPr>
          <w:sz w:val="28"/>
          <w:szCs w:val="28"/>
        </w:rPr>
        <w:t xml:space="preserve"> год. По отношению к 2023 году по данным доходам отмечается снижение поступлений</w:t>
      </w:r>
      <w:r w:rsidR="00AD475D">
        <w:rPr>
          <w:sz w:val="28"/>
          <w:szCs w:val="28"/>
        </w:rPr>
        <w:t xml:space="preserve"> </w:t>
      </w:r>
      <w:r w:rsidR="00AD475D">
        <w:rPr>
          <w:sz w:val="28"/>
          <w:szCs w:val="28"/>
        </w:rPr>
        <w:t>на 76,18%</w:t>
      </w:r>
      <w:r w:rsidR="00AD475D">
        <w:rPr>
          <w:sz w:val="28"/>
          <w:szCs w:val="28"/>
        </w:rPr>
        <w:t xml:space="preserve"> или</w:t>
      </w:r>
      <w:r>
        <w:rPr>
          <w:sz w:val="28"/>
          <w:szCs w:val="28"/>
        </w:rPr>
        <w:t xml:space="preserve"> на 15 459,73838 тыс. рублей по</w:t>
      </w:r>
      <w:r>
        <w:rPr>
          <w:sz w:val="24"/>
          <w:szCs w:val="24"/>
        </w:rPr>
        <w:t xml:space="preserve"> </w:t>
      </w:r>
      <w:r>
        <w:rPr>
          <w:sz w:val="28"/>
          <w:szCs w:val="28"/>
        </w:rPr>
        <w:t xml:space="preserve">арендной плате за земельные участки. </w:t>
      </w:r>
    </w:p>
    <w:p w:rsidR="00356C76" w:rsidRDefault="00262BC8">
      <w:pPr>
        <w:spacing w:after="0"/>
        <w:ind w:right="-2" w:firstLine="567"/>
        <w:rPr>
          <w:sz w:val="24"/>
          <w:szCs w:val="24"/>
        </w:rPr>
      </w:pPr>
      <w:r>
        <w:rPr>
          <w:sz w:val="24"/>
          <w:szCs w:val="24"/>
        </w:rPr>
        <w:lastRenderedPageBreak/>
        <w:t>Таблица 3</w:t>
      </w:r>
    </w:p>
    <w:p w:rsidR="00356C76" w:rsidRDefault="00356C76">
      <w:pPr>
        <w:spacing w:after="0"/>
        <w:ind w:right="424" w:firstLine="567"/>
        <w:jc w:val="both"/>
        <w:rPr>
          <w:b/>
          <w:sz w:val="28"/>
          <w:szCs w:val="28"/>
        </w:rPr>
      </w:pPr>
    </w:p>
    <w:p w:rsidR="00356C76" w:rsidRDefault="00262BC8">
      <w:pPr>
        <w:spacing w:after="0"/>
        <w:ind w:right="424" w:firstLine="709"/>
        <w:jc w:val="center"/>
        <w:rPr>
          <w:b/>
          <w:sz w:val="28"/>
          <w:szCs w:val="28"/>
        </w:rPr>
      </w:pPr>
      <w:r>
        <w:rPr>
          <w:b/>
          <w:sz w:val="28"/>
          <w:szCs w:val="28"/>
        </w:rPr>
        <w:t xml:space="preserve">Информация о поступлении доходов от использования муниципального имущества в доход бюджета </w:t>
      </w:r>
    </w:p>
    <w:p w:rsidR="00356C76" w:rsidRDefault="00356C76">
      <w:pPr>
        <w:spacing w:after="0"/>
        <w:ind w:right="424" w:firstLine="709"/>
        <w:rPr>
          <w:sz w:val="24"/>
          <w:szCs w:val="24"/>
        </w:rPr>
      </w:pPr>
    </w:p>
    <w:p w:rsidR="00356C76" w:rsidRDefault="00262BC8">
      <w:pPr>
        <w:spacing w:after="0"/>
        <w:ind w:right="-2" w:firstLine="709"/>
        <w:rPr>
          <w:sz w:val="24"/>
          <w:szCs w:val="24"/>
        </w:rPr>
      </w:pPr>
      <w:r>
        <w:rPr>
          <w:sz w:val="24"/>
          <w:szCs w:val="24"/>
        </w:rPr>
        <w:t>(тыс. рублей)</w:t>
      </w:r>
    </w:p>
    <w:tbl>
      <w:tblPr>
        <w:tblStyle w:val="-161"/>
        <w:tblW w:w="9511" w:type="dxa"/>
        <w:tblInd w:w="-5" w:type="dxa"/>
        <w:tblLayout w:type="fixed"/>
        <w:tblLook w:val="04A0" w:firstRow="1" w:lastRow="0" w:firstColumn="1" w:lastColumn="0" w:noHBand="0" w:noVBand="1"/>
      </w:tblPr>
      <w:tblGrid>
        <w:gridCol w:w="3015"/>
        <w:gridCol w:w="1755"/>
        <w:gridCol w:w="1740"/>
        <w:gridCol w:w="1605"/>
        <w:gridCol w:w="1396"/>
      </w:tblGrid>
      <w:tr w:rsidR="00356C76" w:rsidTr="00356C76">
        <w:trPr>
          <w:cnfStyle w:val="100000000000" w:firstRow="1" w:lastRow="0" w:firstColumn="0" w:lastColumn="0" w:oddVBand="0" w:evenVBand="0" w:oddHBand="0" w:evenHBand="0" w:firstRowFirstColumn="0" w:firstRowLastColumn="0" w:lastRowFirstColumn="0" w:lastRowLastColumn="0"/>
          <w:trHeight w:val="240"/>
          <w:tblHeader/>
        </w:trPr>
        <w:tc>
          <w:tcPr>
            <w:cnfStyle w:val="001000000000" w:firstRow="0" w:lastRow="0" w:firstColumn="1" w:lastColumn="0" w:oddVBand="0" w:evenVBand="0" w:oddHBand="0" w:evenHBand="0" w:firstRowFirstColumn="0" w:firstRowLastColumn="0" w:lastRowFirstColumn="0" w:lastRowLastColumn="0"/>
            <w:tcW w:w="3015" w:type="dxa"/>
            <w:tcBorders>
              <w:top w:val="single" w:sz="4" w:space="0" w:color="auto"/>
              <w:left w:val="single" w:sz="4" w:space="0" w:color="auto"/>
              <w:bottom w:val="single" w:sz="4" w:space="0" w:color="auto"/>
              <w:right w:val="single" w:sz="4" w:space="0" w:color="auto"/>
            </w:tcBorders>
          </w:tcPr>
          <w:p w:rsidR="00356C76" w:rsidRDefault="00262BC8">
            <w:pPr>
              <w:spacing w:after="0" w:line="240" w:lineRule="auto"/>
              <w:ind w:right="424"/>
              <w:jc w:val="left"/>
              <w:rPr>
                <w:rFonts w:eastAsia="Times New Roman"/>
                <w:b w:val="0"/>
                <w:bCs w:val="0"/>
              </w:rPr>
            </w:pPr>
            <w:r>
              <w:rPr>
                <w:rFonts w:eastAsia="Times New Roman"/>
              </w:rPr>
              <w:t>Наименование показателя</w:t>
            </w:r>
          </w:p>
        </w:tc>
        <w:tc>
          <w:tcPr>
            <w:tcW w:w="1755" w:type="dxa"/>
            <w:tcBorders>
              <w:top w:val="single" w:sz="4" w:space="0" w:color="auto"/>
              <w:left w:val="single" w:sz="4" w:space="0" w:color="auto"/>
              <w:bottom w:val="single" w:sz="4" w:space="0" w:color="auto"/>
              <w:right w:val="single" w:sz="4" w:space="0" w:color="auto"/>
            </w:tcBorders>
          </w:tcPr>
          <w:p w:rsidR="00356C76" w:rsidRDefault="00262BC8">
            <w:pPr>
              <w:spacing w:after="0" w:line="240" w:lineRule="auto"/>
              <w:ind w:right="146"/>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2023 год исполнение</w:t>
            </w:r>
          </w:p>
        </w:tc>
        <w:tc>
          <w:tcPr>
            <w:tcW w:w="1740" w:type="dxa"/>
            <w:tcBorders>
              <w:top w:val="single" w:sz="4" w:space="0" w:color="auto"/>
              <w:left w:val="single" w:sz="4" w:space="0" w:color="auto"/>
              <w:bottom w:val="single" w:sz="4" w:space="0" w:color="auto"/>
              <w:right w:val="single" w:sz="4" w:space="0" w:color="auto"/>
            </w:tcBorders>
          </w:tcPr>
          <w:p w:rsidR="00356C76" w:rsidRDefault="00262BC8">
            <w:pPr>
              <w:spacing w:after="0" w:line="240" w:lineRule="auto"/>
              <w:ind w:right="424"/>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2024 год план</w:t>
            </w:r>
          </w:p>
        </w:tc>
        <w:tc>
          <w:tcPr>
            <w:tcW w:w="1605" w:type="dxa"/>
            <w:tcBorders>
              <w:top w:val="single" w:sz="4" w:space="0" w:color="auto"/>
              <w:left w:val="single" w:sz="4" w:space="0" w:color="auto"/>
              <w:bottom w:val="single" w:sz="4" w:space="0" w:color="auto"/>
              <w:right w:val="single" w:sz="4" w:space="0" w:color="auto"/>
            </w:tcBorders>
          </w:tcPr>
          <w:p w:rsidR="00356C76" w:rsidRDefault="00262BC8">
            <w:pPr>
              <w:spacing w:after="0" w:line="240" w:lineRule="auto"/>
              <w:ind w:right="146"/>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2024 год исполнение</w:t>
            </w:r>
          </w:p>
        </w:tc>
        <w:tc>
          <w:tcPr>
            <w:tcW w:w="1396" w:type="dxa"/>
            <w:tcBorders>
              <w:top w:val="single" w:sz="4" w:space="0" w:color="auto"/>
              <w:left w:val="single" w:sz="4" w:space="0" w:color="auto"/>
              <w:bottom w:val="single" w:sz="4" w:space="0" w:color="auto"/>
              <w:right w:val="single" w:sz="4" w:space="0" w:color="auto"/>
            </w:tcBorders>
          </w:tcPr>
          <w:p w:rsidR="00356C76" w:rsidRDefault="00262BC8">
            <w:pPr>
              <w:spacing w:after="0" w:line="240" w:lineRule="auto"/>
              <w:ind w:right="4"/>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 исполнения</w:t>
            </w:r>
          </w:p>
        </w:tc>
      </w:tr>
      <w:tr w:rsidR="00356C76" w:rsidTr="00356C76">
        <w:trPr>
          <w:trHeight w:val="1065"/>
        </w:trPr>
        <w:tc>
          <w:tcPr>
            <w:cnfStyle w:val="001000000000" w:firstRow="0" w:lastRow="0" w:firstColumn="1" w:lastColumn="0" w:oddVBand="0" w:evenVBand="0" w:oddHBand="0" w:evenHBand="0" w:firstRowFirstColumn="0" w:firstRowLastColumn="0" w:lastRowFirstColumn="0" w:lastRowLastColumn="0"/>
            <w:tcW w:w="3015" w:type="dxa"/>
            <w:tcBorders>
              <w:top w:val="single" w:sz="4" w:space="0" w:color="auto"/>
              <w:left w:val="single" w:sz="4" w:space="0" w:color="auto"/>
              <w:bottom w:val="single" w:sz="4" w:space="0" w:color="auto"/>
              <w:right w:val="single" w:sz="4" w:space="0" w:color="auto"/>
            </w:tcBorders>
          </w:tcPr>
          <w:p w:rsidR="00356C76" w:rsidRDefault="00262BC8">
            <w:pPr>
              <w:spacing w:after="0" w:line="240" w:lineRule="auto"/>
              <w:ind w:right="424"/>
              <w:jc w:val="left"/>
              <w:rPr>
                <w:rFonts w:eastAsia="Times New Roman"/>
              </w:rPr>
            </w:pPr>
            <w:r>
              <w:rPr>
                <w:rFonts w:eastAsia="Times New Roman"/>
                <w:b w:val="0"/>
                <w:bCs w:val="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755" w:type="dxa"/>
            <w:tcBorders>
              <w:top w:val="single" w:sz="4" w:space="0" w:color="auto"/>
              <w:left w:val="single" w:sz="4" w:space="0" w:color="auto"/>
              <w:bottom w:val="single" w:sz="4" w:space="0" w:color="auto"/>
              <w:right w:val="single" w:sz="4" w:space="0" w:color="auto"/>
            </w:tcBorders>
            <w:vAlign w:val="center"/>
          </w:tcPr>
          <w:p w:rsidR="00356C76" w:rsidRDefault="00262BC8">
            <w:pPr>
              <w:spacing w:after="0" w:line="240" w:lineRule="auto"/>
              <w:ind w:right="181"/>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17 295,98486</w:t>
            </w:r>
          </w:p>
        </w:tc>
        <w:tc>
          <w:tcPr>
            <w:tcW w:w="1740" w:type="dxa"/>
            <w:tcBorders>
              <w:top w:val="single" w:sz="4" w:space="0" w:color="auto"/>
              <w:left w:val="single" w:sz="4" w:space="0" w:color="auto"/>
              <w:bottom w:val="single" w:sz="4" w:space="0" w:color="auto"/>
              <w:right w:val="single" w:sz="4" w:space="0" w:color="auto"/>
            </w:tcBorders>
            <w:noWrap/>
            <w:vAlign w:val="center"/>
          </w:tcPr>
          <w:p w:rsidR="00356C76" w:rsidRDefault="00262BC8">
            <w:pPr>
              <w:spacing w:after="0" w:line="240" w:lineRule="auto"/>
              <w:ind w:right="180"/>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1 986,22550</w:t>
            </w:r>
          </w:p>
        </w:tc>
        <w:tc>
          <w:tcPr>
            <w:tcW w:w="1605" w:type="dxa"/>
            <w:tcBorders>
              <w:top w:val="single" w:sz="4" w:space="0" w:color="auto"/>
              <w:left w:val="single" w:sz="4" w:space="0" w:color="auto"/>
              <w:bottom w:val="single" w:sz="4" w:space="0" w:color="auto"/>
              <w:right w:val="single" w:sz="4" w:space="0" w:color="auto"/>
            </w:tcBorders>
            <w:noWrap/>
            <w:vAlign w:val="center"/>
          </w:tcPr>
          <w:p w:rsidR="00356C76" w:rsidRDefault="00262BC8">
            <w:pPr>
              <w:spacing w:after="0" w:line="240" w:lineRule="auto"/>
              <w:ind w:right="181"/>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1 798,86685</w:t>
            </w:r>
          </w:p>
        </w:tc>
        <w:tc>
          <w:tcPr>
            <w:tcW w:w="1396" w:type="dxa"/>
            <w:tcBorders>
              <w:top w:val="single" w:sz="4" w:space="0" w:color="auto"/>
              <w:left w:val="single" w:sz="4" w:space="0" w:color="auto"/>
              <w:bottom w:val="single" w:sz="4" w:space="0" w:color="auto"/>
              <w:right w:val="single" w:sz="4" w:space="0" w:color="auto"/>
            </w:tcBorders>
            <w:noWrap/>
            <w:vAlign w:val="center"/>
          </w:tcPr>
          <w:p w:rsidR="00356C76" w:rsidRDefault="00262BC8">
            <w:pPr>
              <w:spacing w:after="0" w:line="240" w:lineRule="auto"/>
              <w:ind w:right="424"/>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90,57</w:t>
            </w:r>
          </w:p>
        </w:tc>
      </w:tr>
      <w:tr w:rsidR="00356C76" w:rsidTr="00356C76">
        <w:trPr>
          <w:trHeight w:val="855"/>
        </w:trPr>
        <w:tc>
          <w:tcPr>
            <w:cnfStyle w:val="001000000000" w:firstRow="0" w:lastRow="0" w:firstColumn="1" w:lastColumn="0" w:oddVBand="0" w:evenVBand="0" w:oddHBand="0" w:evenHBand="0" w:firstRowFirstColumn="0" w:firstRowLastColumn="0" w:lastRowFirstColumn="0" w:lastRowLastColumn="0"/>
            <w:tcW w:w="3015" w:type="dxa"/>
            <w:tcBorders>
              <w:top w:val="single" w:sz="4" w:space="0" w:color="auto"/>
              <w:left w:val="single" w:sz="4" w:space="0" w:color="auto"/>
              <w:bottom w:val="single" w:sz="4" w:space="0" w:color="auto"/>
              <w:right w:val="single" w:sz="4" w:space="0" w:color="auto"/>
            </w:tcBorders>
          </w:tcPr>
          <w:p w:rsidR="00356C76" w:rsidRDefault="00262BC8">
            <w:pPr>
              <w:spacing w:after="0" w:line="240" w:lineRule="auto"/>
              <w:ind w:right="424"/>
              <w:jc w:val="left"/>
              <w:rPr>
                <w:rFonts w:eastAsia="Times New Roman"/>
              </w:rPr>
            </w:pPr>
            <w:r>
              <w:rPr>
                <w:rFonts w:eastAsia="Times New Roman"/>
                <w:b w:val="0"/>
                <w:bCs w:val="0"/>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c>
          <w:tcPr>
            <w:tcW w:w="1755" w:type="dxa"/>
            <w:tcBorders>
              <w:top w:val="single" w:sz="4" w:space="0" w:color="auto"/>
              <w:left w:val="single" w:sz="4" w:space="0" w:color="auto"/>
              <w:bottom w:val="single" w:sz="4" w:space="0" w:color="auto"/>
              <w:right w:val="single" w:sz="4" w:space="0" w:color="auto"/>
            </w:tcBorders>
            <w:vAlign w:val="center"/>
          </w:tcPr>
          <w:p w:rsidR="00356C76" w:rsidRDefault="00262BC8">
            <w:pPr>
              <w:spacing w:after="0" w:line="240" w:lineRule="auto"/>
              <w:ind w:right="181"/>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2 998,72214</w:t>
            </w:r>
          </w:p>
        </w:tc>
        <w:tc>
          <w:tcPr>
            <w:tcW w:w="1740" w:type="dxa"/>
            <w:tcBorders>
              <w:top w:val="single" w:sz="4" w:space="0" w:color="auto"/>
              <w:left w:val="single" w:sz="4" w:space="0" w:color="auto"/>
              <w:bottom w:val="single" w:sz="4" w:space="0" w:color="auto"/>
              <w:right w:val="single" w:sz="4" w:space="0" w:color="auto"/>
            </w:tcBorders>
            <w:noWrap/>
            <w:vAlign w:val="center"/>
          </w:tcPr>
          <w:p w:rsidR="00356C76" w:rsidRDefault="00262BC8">
            <w:pPr>
              <w:spacing w:after="0" w:line="240" w:lineRule="auto"/>
              <w:ind w:right="180"/>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2 450,00000</w:t>
            </w:r>
          </w:p>
        </w:tc>
        <w:tc>
          <w:tcPr>
            <w:tcW w:w="1605" w:type="dxa"/>
            <w:tcBorders>
              <w:top w:val="single" w:sz="4" w:space="0" w:color="auto"/>
              <w:left w:val="single" w:sz="4" w:space="0" w:color="auto"/>
              <w:bottom w:val="single" w:sz="4" w:space="0" w:color="auto"/>
              <w:right w:val="single" w:sz="4" w:space="0" w:color="auto"/>
            </w:tcBorders>
            <w:noWrap/>
            <w:vAlign w:val="center"/>
          </w:tcPr>
          <w:p w:rsidR="00356C76" w:rsidRDefault="00262BC8">
            <w:pPr>
              <w:spacing w:after="0" w:line="240" w:lineRule="auto"/>
              <w:ind w:right="181"/>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3 035,75049</w:t>
            </w:r>
          </w:p>
        </w:tc>
        <w:tc>
          <w:tcPr>
            <w:tcW w:w="1396" w:type="dxa"/>
            <w:tcBorders>
              <w:top w:val="single" w:sz="4" w:space="0" w:color="auto"/>
              <w:left w:val="single" w:sz="4" w:space="0" w:color="auto"/>
              <w:bottom w:val="single" w:sz="4" w:space="0" w:color="auto"/>
              <w:right w:val="single" w:sz="4" w:space="0" w:color="auto"/>
            </w:tcBorders>
            <w:noWrap/>
            <w:vAlign w:val="center"/>
          </w:tcPr>
          <w:p w:rsidR="00356C76" w:rsidRDefault="00262BC8">
            <w:pPr>
              <w:spacing w:after="0" w:line="240" w:lineRule="auto"/>
              <w:ind w:right="34"/>
              <w:jc w:val="center"/>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123,91</w:t>
            </w:r>
          </w:p>
        </w:tc>
      </w:tr>
      <w:tr w:rsidR="00356C76" w:rsidTr="00356C76">
        <w:trPr>
          <w:trHeight w:val="255"/>
        </w:trPr>
        <w:tc>
          <w:tcPr>
            <w:cnfStyle w:val="001000000000" w:firstRow="0" w:lastRow="0" w:firstColumn="1" w:lastColumn="0" w:oddVBand="0" w:evenVBand="0" w:oddHBand="0" w:evenHBand="0" w:firstRowFirstColumn="0" w:firstRowLastColumn="0" w:lastRowFirstColumn="0" w:lastRowLastColumn="0"/>
            <w:tcW w:w="3015" w:type="dxa"/>
            <w:tcBorders>
              <w:top w:val="single" w:sz="4" w:space="0" w:color="auto"/>
              <w:left w:val="single" w:sz="4" w:space="0" w:color="auto"/>
              <w:bottom w:val="single" w:sz="4" w:space="0" w:color="auto"/>
              <w:right w:val="single" w:sz="4" w:space="0" w:color="auto"/>
            </w:tcBorders>
            <w:noWrap/>
          </w:tcPr>
          <w:p w:rsidR="00356C76" w:rsidRDefault="00262BC8">
            <w:pPr>
              <w:spacing w:after="0" w:line="240" w:lineRule="auto"/>
              <w:ind w:right="424"/>
              <w:jc w:val="left"/>
              <w:rPr>
                <w:rFonts w:eastAsia="Times New Roman"/>
                <w:b w:val="0"/>
                <w:bCs w:val="0"/>
              </w:rPr>
            </w:pPr>
            <w:r>
              <w:rPr>
                <w:rFonts w:eastAsia="Times New Roman"/>
              </w:rPr>
              <w:t> ИТОГО</w:t>
            </w:r>
          </w:p>
        </w:tc>
        <w:tc>
          <w:tcPr>
            <w:tcW w:w="1755" w:type="dxa"/>
            <w:tcBorders>
              <w:top w:val="single" w:sz="4" w:space="0" w:color="auto"/>
              <w:left w:val="single" w:sz="4" w:space="0" w:color="auto"/>
              <w:bottom w:val="single" w:sz="4" w:space="0" w:color="auto"/>
              <w:right w:val="single" w:sz="4" w:space="0" w:color="auto"/>
            </w:tcBorders>
            <w:noWrap/>
          </w:tcPr>
          <w:p w:rsidR="00356C76" w:rsidRDefault="00262BC8">
            <w:pPr>
              <w:spacing w:after="0" w:line="240" w:lineRule="auto"/>
              <w:ind w:right="63"/>
              <w:jc w:val="center"/>
              <w:cnfStyle w:val="000000000000" w:firstRow="0" w:lastRow="0" w:firstColumn="0" w:lastColumn="0" w:oddVBand="0" w:evenVBand="0" w:oddHBand="0" w:evenHBand="0" w:firstRowFirstColumn="0" w:firstRowLastColumn="0" w:lastRowFirstColumn="0" w:lastRowLastColumn="0"/>
              <w:rPr>
                <w:rFonts w:eastAsia="Times New Roman"/>
                <w:b/>
              </w:rPr>
            </w:pPr>
            <w:r>
              <w:rPr>
                <w:rFonts w:eastAsia="Times New Roman"/>
                <w:b/>
              </w:rPr>
              <w:t>20 294,70700</w:t>
            </w:r>
          </w:p>
        </w:tc>
        <w:tc>
          <w:tcPr>
            <w:tcW w:w="1740" w:type="dxa"/>
            <w:tcBorders>
              <w:top w:val="single" w:sz="4" w:space="0" w:color="auto"/>
              <w:left w:val="single" w:sz="4" w:space="0" w:color="auto"/>
              <w:bottom w:val="single" w:sz="4" w:space="0" w:color="auto"/>
              <w:right w:val="single" w:sz="4" w:space="0" w:color="auto"/>
            </w:tcBorders>
            <w:noWrap/>
          </w:tcPr>
          <w:p w:rsidR="00356C76" w:rsidRDefault="00262BC8">
            <w:pPr>
              <w:spacing w:after="0" w:line="240" w:lineRule="auto"/>
              <w:ind w:right="180"/>
              <w:jc w:val="center"/>
              <w:cnfStyle w:val="000000000000" w:firstRow="0" w:lastRow="0" w:firstColumn="0" w:lastColumn="0" w:oddVBand="0" w:evenVBand="0" w:oddHBand="0" w:evenHBand="0" w:firstRowFirstColumn="0" w:firstRowLastColumn="0" w:lastRowFirstColumn="0" w:lastRowLastColumn="0"/>
              <w:rPr>
                <w:rFonts w:eastAsia="Times New Roman"/>
                <w:b/>
              </w:rPr>
            </w:pPr>
            <w:r>
              <w:rPr>
                <w:rFonts w:eastAsia="Times New Roman"/>
                <w:b/>
              </w:rPr>
              <w:t>4 436,53550</w:t>
            </w:r>
          </w:p>
        </w:tc>
        <w:tc>
          <w:tcPr>
            <w:tcW w:w="1605" w:type="dxa"/>
            <w:tcBorders>
              <w:top w:val="single" w:sz="4" w:space="0" w:color="auto"/>
              <w:left w:val="single" w:sz="4" w:space="0" w:color="auto"/>
              <w:bottom w:val="single" w:sz="4" w:space="0" w:color="auto"/>
              <w:right w:val="single" w:sz="4" w:space="0" w:color="auto"/>
            </w:tcBorders>
            <w:noWrap/>
          </w:tcPr>
          <w:p w:rsidR="00356C76" w:rsidRDefault="00262BC8">
            <w:pPr>
              <w:spacing w:after="0" w:line="240" w:lineRule="auto"/>
              <w:ind w:right="181"/>
              <w:jc w:val="center"/>
              <w:cnfStyle w:val="000000000000" w:firstRow="0" w:lastRow="0" w:firstColumn="0" w:lastColumn="0" w:oddVBand="0" w:evenVBand="0" w:oddHBand="0" w:evenHBand="0" w:firstRowFirstColumn="0" w:firstRowLastColumn="0" w:lastRowFirstColumn="0" w:lastRowLastColumn="0"/>
              <w:rPr>
                <w:rFonts w:eastAsia="Times New Roman"/>
                <w:b/>
              </w:rPr>
            </w:pPr>
            <w:r>
              <w:rPr>
                <w:rFonts w:eastAsia="Times New Roman"/>
                <w:b/>
              </w:rPr>
              <w:t>4 834,96862</w:t>
            </w:r>
          </w:p>
        </w:tc>
        <w:tc>
          <w:tcPr>
            <w:tcW w:w="1396" w:type="dxa"/>
            <w:tcBorders>
              <w:top w:val="single" w:sz="4" w:space="0" w:color="auto"/>
              <w:left w:val="single" w:sz="4" w:space="0" w:color="auto"/>
              <w:bottom w:val="single" w:sz="4" w:space="0" w:color="auto"/>
              <w:right w:val="single" w:sz="4" w:space="0" w:color="auto"/>
            </w:tcBorders>
            <w:noWrap/>
          </w:tcPr>
          <w:p w:rsidR="00356C76" w:rsidRDefault="00262BC8">
            <w:pPr>
              <w:spacing w:after="0" w:line="240" w:lineRule="auto"/>
              <w:ind w:right="176"/>
              <w:jc w:val="center"/>
              <w:cnfStyle w:val="000000000000" w:firstRow="0" w:lastRow="0" w:firstColumn="0" w:lastColumn="0" w:oddVBand="0" w:evenVBand="0" w:oddHBand="0" w:evenHBand="0" w:firstRowFirstColumn="0" w:firstRowLastColumn="0" w:lastRowFirstColumn="0" w:lastRowLastColumn="0"/>
              <w:rPr>
                <w:rFonts w:eastAsia="Times New Roman"/>
                <w:b/>
              </w:rPr>
            </w:pPr>
            <w:r>
              <w:rPr>
                <w:rFonts w:eastAsia="Times New Roman"/>
                <w:b/>
              </w:rPr>
              <w:t>108,98</w:t>
            </w:r>
          </w:p>
        </w:tc>
      </w:tr>
    </w:tbl>
    <w:p w:rsidR="00356C76" w:rsidRDefault="00356C76">
      <w:pPr>
        <w:spacing w:after="0"/>
        <w:ind w:right="424" w:firstLine="567"/>
        <w:jc w:val="both"/>
        <w:rPr>
          <w:b/>
          <w:sz w:val="28"/>
          <w:szCs w:val="28"/>
          <w:highlight w:val="yellow"/>
        </w:rPr>
      </w:pPr>
    </w:p>
    <w:p w:rsidR="00356C76" w:rsidRDefault="00262BC8">
      <w:pPr>
        <w:spacing w:after="0"/>
        <w:ind w:firstLine="709"/>
        <w:jc w:val="both"/>
        <w:rPr>
          <w:rFonts w:eastAsia="Times New Roman"/>
          <w:sz w:val="28"/>
          <w:szCs w:val="28"/>
          <w:highlight w:val="yellow"/>
        </w:rPr>
      </w:pPr>
      <w:r>
        <w:rPr>
          <w:b/>
          <w:sz w:val="28"/>
          <w:szCs w:val="28"/>
        </w:rPr>
        <w:t>Доходы от оказания платных услуг и компенсации затрат бюджетов сельских поселений</w:t>
      </w:r>
      <w:r>
        <w:rPr>
          <w:sz w:val="28"/>
          <w:szCs w:val="28"/>
        </w:rPr>
        <w:t xml:space="preserve"> поступили в сумме </w:t>
      </w:r>
      <w:r w:rsidR="00AD475D">
        <w:rPr>
          <w:sz w:val="28"/>
          <w:szCs w:val="28"/>
        </w:rPr>
        <w:t>273,71248</w:t>
      </w:r>
      <w:r>
        <w:rPr>
          <w:sz w:val="28"/>
          <w:szCs w:val="28"/>
        </w:rPr>
        <w:t xml:space="preserve"> тыс. рублей. Плановые назначения 2024 года исполнены на 85,54%, по отношению к поступлениям 2023 года снижены на 1,51%</w:t>
      </w:r>
      <w:r w:rsidR="00AD475D">
        <w:rPr>
          <w:sz w:val="28"/>
          <w:szCs w:val="28"/>
        </w:rPr>
        <w:t xml:space="preserve"> или на 4,19938</w:t>
      </w:r>
      <w:r w:rsidR="0063276D">
        <w:rPr>
          <w:sz w:val="28"/>
          <w:szCs w:val="28"/>
        </w:rPr>
        <w:t xml:space="preserve"> тыс. рублей</w:t>
      </w:r>
      <w:r>
        <w:rPr>
          <w:sz w:val="28"/>
          <w:szCs w:val="28"/>
        </w:rPr>
        <w:t>.</w:t>
      </w:r>
    </w:p>
    <w:p w:rsidR="00356C76" w:rsidRDefault="00262BC8">
      <w:pPr>
        <w:ind w:firstLine="709"/>
        <w:jc w:val="both"/>
        <w:rPr>
          <w:rFonts w:eastAsia="Times New Roman"/>
          <w:sz w:val="29"/>
          <w:szCs w:val="29"/>
          <w:highlight w:val="yellow"/>
        </w:rPr>
      </w:pPr>
      <w:r>
        <w:rPr>
          <w:rFonts w:eastAsia="Times New Roman"/>
          <w:b/>
          <w:sz w:val="28"/>
          <w:szCs w:val="28"/>
        </w:rPr>
        <w:t xml:space="preserve"> </w:t>
      </w:r>
      <w:r>
        <w:rPr>
          <w:b/>
          <w:sz w:val="28"/>
          <w:szCs w:val="28"/>
        </w:rPr>
        <w:t>Доходы от продажи материальных и нематериальных активов</w:t>
      </w:r>
      <w:r>
        <w:rPr>
          <w:sz w:val="28"/>
          <w:szCs w:val="28"/>
        </w:rPr>
        <w:t xml:space="preserve"> поступили в сумме 57 967,55510 тыс. рублей, что составило 99,98% от установленного плана на 2024 год. По отношению к 2023 году произошло снижение поступлений на </w:t>
      </w:r>
      <w:r w:rsidR="0063276D">
        <w:rPr>
          <w:sz w:val="28"/>
          <w:szCs w:val="28"/>
        </w:rPr>
        <w:t>36,86%</w:t>
      </w:r>
      <w:r w:rsidR="0063276D">
        <w:rPr>
          <w:sz w:val="28"/>
          <w:szCs w:val="28"/>
        </w:rPr>
        <w:t xml:space="preserve"> или на </w:t>
      </w:r>
      <w:r>
        <w:rPr>
          <w:sz w:val="28"/>
          <w:szCs w:val="28"/>
        </w:rPr>
        <w:t xml:space="preserve">33 836,88422 тыс. рублей, </w:t>
      </w:r>
      <w:r w:rsidR="00B467F6">
        <w:rPr>
          <w:sz w:val="28"/>
          <w:szCs w:val="28"/>
        </w:rPr>
        <w:t xml:space="preserve">так как </w:t>
      </w:r>
      <w:r w:rsidR="00B467F6" w:rsidRPr="00B467F6">
        <w:rPr>
          <w:rFonts w:eastAsia="Times New Roman"/>
          <w:sz w:val="29"/>
          <w:szCs w:val="29"/>
        </w:rPr>
        <w:t>в 2023 году за предыдущие годы</w:t>
      </w:r>
      <w:r w:rsidR="00B467F6">
        <w:rPr>
          <w:rFonts w:eastAsia="Times New Roman"/>
          <w:sz w:val="29"/>
          <w:szCs w:val="29"/>
        </w:rPr>
        <w:t>,</w:t>
      </w:r>
      <w:r w:rsidR="00B467F6" w:rsidRPr="00B467F6">
        <w:rPr>
          <w:rFonts w:eastAsia="Times New Roman"/>
          <w:sz w:val="29"/>
          <w:szCs w:val="29"/>
        </w:rPr>
        <w:t xml:space="preserve"> денежные средства со счета во временном </w:t>
      </w:r>
      <w:r w:rsidR="00B467F6" w:rsidRPr="00B467F6">
        <w:rPr>
          <w:rFonts w:eastAsia="Times New Roman"/>
          <w:sz w:val="29"/>
          <w:szCs w:val="29"/>
        </w:rPr>
        <w:lastRenderedPageBreak/>
        <w:t>распоряжении бюджетных средств были зачислены на счет администратора доходов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r>
        <w:rPr>
          <w:rFonts w:eastAsia="Times New Roman"/>
          <w:sz w:val="29"/>
          <w:szCs w:val="29"/>
        </w:rPr>
        <w:t>.</w:t>
      </w:r>
    </w:p>
    <w:p w:rsidR="00356C76" w:rsidRDefault="00262BC8">
      <w:pPr>
        <w:ind w:firstLine="709"/>
        <w:jc w:val="both"/>
        <w:rPr>
          <w:rFonts w:eastAsia="Times New Roman"/>
          <w:sz w:val="29"/>
          <w:szCs w:val="29"/>
        </w:rPr>
      </w:pPr>
      <w:r>
        <w:rPr>
          <w:b/>
          <w:sz w:val="28"/>
          <w:szCs w:val="28"/>
        </w:rPr>
        <w:t>По штрафам, санкциям</w:t>
      </w:r>
      <w:r>
        <w:rPr>
          <w:sz w:val="28"/>
          <w:szCs w:val="28"/>
        </w:rPr>
        <w:t xml:space="preserve"> поступили средства в сумме 103,33014 тыс. рублей, что составило 93,3</w:t>
      </w:r>
      <w:r w:rsidR="00687B95">
        <w:rPr>
          <w:sz w:val="28"/>
          <w:szCs w:val="28"/>
        </w:rPr>
        <w:t>0</w:t>
      </w:r>
      <w:r>
        <w:rPr>
          <w:sz w:val="28"/>
          <w:szCs w:val="28"/>
        </w:rPr>
        <w:t xml:space="preserve">% от планового показателя на 2024 год. По отношению к 2023 году поступления снизились </w:t>
      </w:r>
      <w:r w:rsidR="00687B95">
        <w:rPr>
          <w:sz w:val="28"/>
          <w:szCs w:val="28"/>
        </w:rPr>
        <w:t xml:space="preserve">на 25,81% или </w:t>
      </w:r>
      <w:r>
        <w:rPr>
          <w:sz w:val="28"/>
          <w:szCs w:val="28"/>
        </w:rPr>
        <w:t>на 35,94224 тыс. рублей</w:t>
      </w:r>
      <w:r>
        <w:rPr>
          <w:rFonts w:eastAsia="Times New Roman"/>
          <w:sz w:val="29"/>
          <w:szCs w:val="29"/>
        </w:rPr>
        <w:t>.</w:t>
      </w:r>
    </w:p>
    <w:p w:rsidR="00356C76" w:rsidRDefault="00262BC8">
      <w:pPr>
        <w:ind w:firstLine="708"/>
        <w:jc w:val="both"/>
        <w:rPr>
          <w:rFonts w:eastAsia="Times New Roman"/>
          <w:sz w:val="28"/>
          <w:szCs w:val="28"/>
        </w:rPr>
      </w:pPr>
      <w:r>
        <w:rPr>
          <w:rFonts w:eastAsia="Times New Roman"/>
          <w:b/>
          <w:sz w:val="28"/>
          <w:szCs w:val="28"/>
        </w:rPr>
        <w:t>БЕЗВОЗМЕЗДНЫЕ ПОСТУПЛЕНИЯ</w:t>
      </w:r>
      <w:r>
        <w:rPr>
          <w:rFonts w:eastAsia="Times New Roman"/>
          <w:sz w:val="28"/>
          <w:szCs w:val="28"/>
        </w:rPr>
        <w:t xml:space="preserve"> в 2024 году составили 5 369,73003 тыс. рублей, установленный на 2024 год план исполнен на 100%. По сравнению с 2023 годом безвозмездные поступления сократились</w:t>
      </w:r>
      <w:r w:rsidR="00687B95">
        <w:rPr>
          <w:rFonts w:eastAsia="Times New Roman"/>
          <w:sz w:val="28"/>
          <w:szCs w:val="28"/>
        </w:rPr>
        <w:t xml:space="preserve"> на 40,36% или</w:t>
      </w:r>
      <w:r>
        <w:rPr>
          <w:rFonts w:eastAsia="Times New Roman"/>
          <w:sz w:val="28"/>
          <w:szCs w:val="28"/>
        </w:rPr>
        <w:t xml:space="preserve"> на 3 633,20142 тыс. рублей</w:t>
      </w:r>
      <w:r w:rsidR="00687B95">
        <w:rPr>
          <w:rFonts w:eastAsia="Times New Roman"/>
          <w:sz w:val="28"/>
          <w:szCs w:val="28"/>
        </w:rPr>
        <w:t>.</w:t>
      </w:r>
      <w:r>
        <w:rPr>
          <w:rFonts w:eastAsia="Times New Roman"/>
          <w:sz w:val="28"/>
          <w:szCs w:val="28"/>
        </w:rPr>
        <w:t xml:space="preserve"> </w:t>
      </w:r>
    </w:p>
    <w:p w:rsidR="00356C76" w:rsidRDefault="00262BC8">
      <w:pPr>
        <w:spacing w:after="0"/>
        <w:ind w:firstLine="709"/>
        <w:jc w:val="both"/>
        <w:rPr>
          <w:bCs/>
          <w:sz w:val="28"/>
          <w:szCs w:val="28"/>
        </w:rPr>
      </w:pPr>
      <w:r>
        <w:rPr>
          <w:bCs/>
          <w:sz w:val="28"/>
          <w:szCs w:val="28"/>
        </w:rPr>
        <w:t>4,32% безвозмездных поступлений составляют субвенции в сумме 232,10000 тыс. рублей.</w:t>
      </w:r>
    </w:p>
    <w:p w:rsidR="00356C76" w:rsidRDefault="002936A3">
      <w:pPr>
        <w:spacing w:after="0"/>
        <w:ind w:firstLine="709"/>
        <w:jc w:val="both"/>
        <w:rPr>
          <w:sz w:val="28"/>
          <w:szCs w:val="28"/>
        </w:rPr>
      </w:pPr>
      <w:r>
        <w:rPr>
          <w:sz w:val="28"/>
          <w:szCs w:val="28"/>
        </w:rPr>
        <w:t xml:space="preserve">93,06% - иные </w:t>
      </w:r>
      <w:r w:rsidR="00262BC8">
        <w:rPr>
          <w:sz w:val="28"/>
          <w:szCs w:val="28"/>
        </w:rPr>
        <w:t>межбюджетные трансферты за отчётный период поступили в размере 4 997,13003 тыс. рублей.</w:t>
      </w:r>
    </w:p>
    <w:p w:rsidR="00356C76" w:rsidRDefault="00262BC8">
      <w:pPr>
        <w:spacing w:after="0"/>
        <w:ind w:firstLine="709"/>
        <w:jc w:val="both"/>
        <w:rPr>
          <w:sz w:val="28"/>
          <w:szCs w:val="28"/>
        </w:rPr>
      </w:pPr>
      <w:r>
        <w:rPr>
          <w:sz w:val="28"/>
          <w:szCs w:val="28"/>
        </w:rPr>
        <w:t>Поступления от денежных пожертвований, предоставляемых физическими лицами получателям средств бюджетов сельских поселений в бюджет</w:t>
      </w:r>
      <w:r w:rsidR="002936A3">
        <w:rPr>
          <w:sz w:val="28"/>
          <w:szCs w:val="28"/>
        </w:rPr>
        <w:t>,</w:t>
      </w:r>
      <w:r>
        <w:rPr>
          <w:sz w:val="28"/>
          <w:szCs w:val="28"/>
        </w:rPr>
        <w:t xml:space="preserve"> составили 147,00000 тыс. рублей.</w:t>
      </w:r>
    </w:p>
    <w:p w:rsidR="00356C76" w:rsidRDefault="00262BC8">
      <w:pPr>
        <w:spacing w:after="0"/>
        <w:ind w:firstLine="709"/>
        <w:jc w:val="both"/>
        <w:rPr>
          <w:sz w:val="28"/>
          <w:szCs w:val="28"/>
        </w:rPr>
      </w:pPr>
      <w:r>
        <w:rPr>
          <w:sz w:val="28"/>
          <w:szCs w:val="28"/>
        </w:rPr>
        <w:t>Возврат неиспользованных в 202</w:t>
      </w:r>
      <w:r w:rsidR="002936A3">
        <w:rPr>
          <w:sz w:val="28"/>
          <w:szCs w:val="28"/>
        </w:rPr>
        <w:t>3</w:t>
      </w:r>
      <w:r>
        <w:rPr>
          <w:sz w:val="28"/>
          <w:szCs w:val="28"/>
        </w:rPr>
        <w:t xml:space="preserve"> году иных межбюджетных трансфертов</w:t>
      </w:r>
      <w:r w:rsidR="002936A3">
        <w:rPr>
          <w:sz w:val="28"/>
          <w:szCs w:val="28"/>
        </w:rPr>
        <w:t xml:space="preserve"> на </w:t>
      </w:r>
      <w:r w:rsidR="002936A3" w:rsidRPr="002936A3">
        <w:rPr>
          <w:sz w:val="28"/>
          <w:szCs w:val="28"/>
        </w:rPr>
        <w:t>осущ</w:t>
      </w:r>
      <w:r w:rsidR="002936A3">
        <w:rPr>
          <w:sz w:val="28"/>
          <w:szCs w:val="28"/>
        </w:rPr>
        <w:t xml:space="preserve">ествление </w:t>
      </w:r>
      <w:r w:rsidR="002936A3" w:rsidRPr="002936A3">
        <w:rPr>
          <w:sz w:val="28"/>
          <w:szCs w:val="28"/>
        </w:rPr>
        <w:t>полн</w:t>
      </w:r>
      <w:r w:rsidR="002936A3">
        <w:rPr>
          <w:sz w:val="28"/>
          <w:szCs w:val="28"/>
        </w:rPr>
        <w:t>омочий</w:t>
      </w:r>
      <w:r w:rsidR="002936A3" w:rsidRPr="002936A3">
        <w:rPr>
          <w:sz w:val="28"/>
          <w:szCs w:val="28"/>
        </w:rPr>
        <w:t xml:space="preserve"> по созданию, содержанию и организации деят</w:t>
      </w:r>
      <w:r w:rsidR="002936A3">
        <w:rPr>
          <w:sz w:val="28"/>
          <w:szCs w:val="28"/>
        </w:rPr>
        <w:t xml:space="preserve">ельности аварийно-спасательных </w:t>
      </w:r>
      <w:r w:rsidR="002936A3" w:rsidRPr="002936A3">
        <w:rPr>
          <w:sz w:val="28"/>
          <w:szCs w:val="28"/>
        </w:rPr>
        <w:t>служб</w:t>
      </w:r>
      <w:r>
        <w:rPr>
          <w:sz w:val="28"/>
          <w:szCs w:val="28"/>
        </w:rPr>
        <w:t xml:space="preserve"> осуществлён в</w:t>
      </w:r>
      <w:r w:rsidR="002936A3">
        <w:rPr>
          <w:sz w:val="28"/>
          <w:szCs w:val="28"/>
        </w:rPr>
        <w:t xml:space="preserve"> 2024 году в</w:t>
      </w:r>
      <w:r>
        <w:rPr>
          <w:sz w:val="28"/>
          <w:szCs w:val="28"/>
        </w:rPr>
        <w:t xml:space="preserve"> размере -6,50000 тыс. рублей.</w:t>
      </w:r>
    </w:p>
    <w:p w:rsidR="00356C76" w:rsidRDefault="00262BC8">
      <w:pPr>
        <w:ind w:right="-2"/>
        <w:rPr>
          <w:sz w:val="24"/>
          <w:szCs w:val="24"/>
        </w:rPr>
      </w:pPr>
      <w:r>
        <w:rPr>
          <w:sz w:val="24"/>
          <w:szCs w:val="24"/>
        </w:rPr>
        <w:t>Таблица 4</w:t>
      </w:r>
    </w:p>
    <w:p w:rsidR="00356C76" w:rsidRDefault="00262BC8">
      <w:pPr>
        <w:spacing w:after="0" w:line="240" w:lineRule="auto"/>
        <w:ind w:right="424"/>
        <w:jc w:val="center"/>
        <w:rPr>
          <w:b/>
          <w:sz w:val="28"/>
          <w:szCs w:val="28"/>
        </w:rPr>
      </w:pPr>
      <w:r>
        <w:rPr>
          <w:b/>
          <w:sz w:val="28"/>
          <w:szCs w:val="28"/>
        </w:rPr>
        <w:t>Информация о безвозмездных поступлениях в бюджет</w:t>
      </w:r>
    </w:p>
    <w:p w:rsidR="00356C76" w:rsidRDefault="00262BC8">
      <w:pPr>
        <w:spacing w:after="0" w:line="240" w:lineRule="auto"/>
        <w:ind w:right="424"/>
        <w:jc w:val="center"/>
        <w:rPr>
          <w:b/>
          <w:sz w:val="28"/>
          <w:szCs w:val="28"/>
        </w:rPr>
      </w:pPr>
      <w:r>
        <w:rPr>
          <w:b/>
          <w:sz w:val="28"/>
          <w:szCs w:val="28"/>
        </w:rPr>
        <w:t>сельского поселения</w:t>
      </w:r>
    </w:p>
    <w:p w:rsidR="00356C76" w:rsidRDefault="00356C76">
      <w:pPr>
        <w:spacing w:after="0" w:line="240" w:lineRule="auto"/>
        <w:ind w:right="424"/>
        <w:jc w:val="center"/>
        <w:rPr>
          <w:b/>
          <w:sz w:val="28"/>
          <w:szCs w:val="28"/>
        </w:rPr>
      </w:pPr>
    </w:p>
    <w:p w:rsidR="00356C76" w:rsidRDefault="00262BC8">
      <w:pPr>
        <w:ind w:right="-2"/>
        <w:rPr>
          <w:rFonts w:eastAsia="Times New Roman"/>
          <w:sz w:val="24"/>
          <w:szCs w:val="24"/>
        </w:rPr>
      </w:pPr>
      <w:r>
        <w:rPr>
          <w:rFonts w:eastAsia="Times New Roman"/>
          <w:sz w:val="24"/>
          <w:szCs w:val="24"/>
        </w:rPr>
        <w:t>(тыс. рублей)</w:t>
      </w:r>
    </w:p>
    <w:tbl>
      <w:tblPr>
        <w:tblStyle w:val="-161"/>
        <w:tblW w:w="98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4"/>
        <w:gridCol w:w="1431"/>
        <w:gridCol w:w="1470"/>
        <w:gridCol w:w="1470"/>
        <w:gridCol w:w="860"/>
      </w:tblGrid>
      <w:tr w:rsidR="00356C76" w:rsidTr="00356C76">
        <w:trPr>
          <w:cnfStyle w:val="100000000000" w:firstRow="1" w:lastRow="0" w:firstColumn="0" w:lastColumn="0" w:oddVBand="0" w:evenVBand="0" w:oddHBand="0" w:evenHBand="0" w:firstRowFirstColumn="0" w:firstRowLastColumn="0" w:lastRowFirstColumn="0" w:lastRowLastColumn="0"/>
          <w:trHeight w:val="330"/>
          <w:tblHeader/>
          <w:jc w:val="right"/>
        </w:trPr>
        <w:tc>
          <w:tcPr>
            <w:cnfStyle w:val="001000000000" w:firstRow="0" w:lastRow="0" w:firstColumn="1" w:lastColumn="0" w:oddVBand="0" w:evenVBand="0" w:oddHBand="0" w:evenHBand="0" w:firstRowFirstColumn="0" w:firstRowLastColumn="0" w:lastRowFirstColumn="0" w:lastRowLastColumn="0"/>
            <w:tcW w:w="4614" w:type="dxa"/>
            <w:tcBorders>
              <w:bottom w:val="single" w:sz="4" w:space="0" w:color="auto"/>
            </w:tcBorders>
          </w:tcPr>
          <w:p w:rsidR="00356C76" w:rsidRDefault="00262BC8">
            <w:pPr>
              <w:spacing w:after="0" w:line="240" w:lineRule="auto"/>
              <w:ind w:right="-137"/>
              <w:jc w:val="center"/>
              <w:rPr>
                <w:rFonts w:eastAsia="Times New Roman"/>
                <w:b w:val="0"/>
                <w:bCs w:val="0"/>
              </w:rPr>
            </w:pPr>
            <w:r>
              <w:rPr>
                <w:rFonts w:eastAsia="Times New Roman"/>
              </w:rPr>
              <w:t>Наименование показателя</w:t>
            </w:r>
          </w:p>
        </w:tc>
        <w:tc>
          <w:tcPr>
            <w:tcW w:w="1431" w:type="dxa"/>
            <w:tcBorders>
              <w:bottom w:val="single" w:sz="4" w:space="0" w:color="auto"/>
            </w:tcBorders>
          </w:tcPr>
          <w:p w:rsidR="00356C76" w:rsidRDefault="00262BC8">
            <w:pPr>
              <w:spacing w:after="0" w:line="240" w:lineRule="auto"/>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Исполнено в 2023 году</w:t>
            </w:r>
          </w:p>
        </w:tc>
        <w:tc>
          <w:tcPr>
            <w:tcW w:w="1470" w:type="dxa"/>
            <w:tcBorders>
              <w:bottom w:val="single" w:sz="4" w:space="0" w:color="auto"/>
            </w:tcBorders>
          </w:tcPr>
          <w:p w:rsidR="00356C76" w:rsidRDefault="00262BC8">
            <w:pPr>
              <w:spacing w:after="0" w:line="240" w:lineRule="auto"/>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План на 2024 год</w:t>
            </w:r>
          </w:p>
        </w:tc>
        <w:tc>
          <w:tcPr>
            <w:tcW w:w="1470" w:type="dxa"/>
            <w:tcBorders>
              <w:bottom w:val="single" w:sz="4" w:space="0" w:color="auto"/>
            </w:tcBorders>
          </w:tcPr>
          <w:p w:rsidR="00356C76" w:rsidRDefault="00262BC8">
            <w:pPr>
              <w:spacing w:after="0" w:line="240" w:lineRule="auto"/>
              <w:ind w:right="-108"/>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Исполнено в 2024 году</w:t>
            </w:r>
          </w:p>
        </w:tc>
        <w:tc>
          <w:tcPr>
            <w:tcW w:w="860" w:type="dxa"/>
            <w:tcBorders>
              <w:bottom w:val="single" w:sz="4" w:space="0" w:color="auto"/>
            </w:tcBorders>
          </w:tcPr>
          <w:p w:rsidR="00356C76" w:rsidRDefault="00262BC8">
            <w:pPr>
              <w:spacing w:after="0" w:line="240" w:lineRule="auto"/>
              <w:ind w:right="-79"/>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Pr>
                <w:rFonts w:eastAsia="Times New Roman"/>
              </w:rPr>
              <w:t>% исполнения</w:t>
            </w:r>
          </w:p>
        </w:tc>
      </w:tr>
      <w:tr w:rsidR="002936A3" w:rsidTr="00356C76">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tcBorders>
              <w:top w:val="single" w:sz="4" w:space="0" w:color="auto"/>
            </w:tcBorders>
          </w:tcPr>
          <w:p w:rsidR="002936A3" w:rsidRDefault="002936A3" w:rsidP="002936A3">
            <w:pPr>
              <w:spacing w:after="0" w:line="240" w:lineRule="auto"/>
              <w:jc w:val="left"/>
              <w:rPr>
                <w:rFonts w:eastAsia="Times New Roman"/>
              </w:rPr>
            </w:pPr>
            <w:r>
              <w:rPr>
                <w:rFonts w:eastAsia="Times New Roman"/>
                <w:b w:val="0"/>
                <w:bCs w:val="0"/>
              </w:rPr>
              <w:t xml:space="preserve">БЕЗВОЗМЕЗДНЫЕ ПОСТУПЛЕНИЯ </w:t>
            </w:r>
          </w:p>
        </w:tc>
        <w:tc>
          <w:tcPr>
            <w:tcW w:w="1431" w:type="dxa"/>
            <w:tcBorders>
              <w:top w:val="single" w:sz="4" w:space="0" w:color="auto"/>
            </w:tcBorders>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9 002,93145</w:t>
            </w:r>
          </w:p>
        </w:tc>
        <w:tc>
          <w:tcPr>
            <w:tcW w:w="1470" w:type="dxa"/>
            <w:tcBorders>
              <w:top w:val="single" w:sz="4" w:space="0" w:color="auto"/>
            </w:tcBorders>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5 369,73003</w:t>
            </w:r>
          </w:p>
        </w:tc>
        <w:tc>
          <w:tcPr>
            <w:tcW w:w="1470" w:type="dxa"/>
            <w:tcBorders>
              <w:top w:val="single" w:sz="4" w:space="0" w:color="auto"/>
            </w:tcBorders>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5 369,73003</w:t>
            </w:r>
          </w:p>
        </w:tc>
        <w:tc>
          <w:tcPr>
            <w:tcW w:w="860" w:type="dxa"/>
            <w:tcBorders>
              <w:top w:val="single" w:sz="4" w:space="0" w:color="auto"/>
            </w:tcBorders>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rPr>
                <w:rFonts w:eastAsia="Times New Roman"/>
              </w:rPr>
            </w:pPr>
            <w:r>
              <w:rPr>
                <w:rFonts w:eastAsia="Times New Roman"/>
                <w:b w:val="0"/>
                <w:bCs w:val="0"/>
              </w:rPr>
              <w:t>БЕЗВОЗМЕЗДНЫЕ ПОСТУПЛЕНИЯ ОТ ДРУГИХ БЮДЖЕТОВ БЮДЖЕТНОЙ СИСТЕМЫ РОССИЙСКОЙ ФЕДЕРАЦИИ</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8 230,41700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5 229,23003</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5 229,23003</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rPr>
                <w:rFonts w:eastAsia="Times New Roman"/>
              </w:rPr>
            </w:pPr>
            <w:r>
              <w:rPr>
                <w:rFonts w:eastAsia="Times New Roman"/>
                <w:b w:val="0"/>
                <w:bCs w:val="0"/>
              </w:rPr>
              <w:t>Дотации бюджетам субъектов Российской Федерации и муниципальных образований</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747,73100</w:t>
            </w:r>
          </w:p>
        </w:tc>
        <w:tc>
          <w:tcPr>
            <w:tcW w:w="1470"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0,00000</w:t>
            </w:r>
          </w:p>
        </w:tc>
        <w:tc>
          <w:tcPr>
            <w:tcW w:w="1470"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0,00000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w:t>
            </w:r>
          </w:p>
          <w:p w:rsidR="002936A3" w:rsidRDefault="002936A3" w:rsidP="002936A3">
            <w:pPr>
              <w:spacing w:after="0" w:line="240" w:lineRule="auto"/>
              <w:jc w:val="both"/>
              <w:cnfStyle w:val="000000000000" w:firstRow="0" w:lastRow="0" w:firstColumn="0" w:lastColumn="0" w:oddVBand="0" w:evenVBand="0" w:oddHBand="0" w:evenHBand="0" w:firstRowFirstColumn="0" w:firstRowLastColumn="0" w:lastRowFirstColumn="0" w:lastRowLastColumn="0"/>
            </w:pPr>
          </w:p>
        </w:tc>
      </w:tr>
      <w:tr w:rsidR="002936A3" w:rsidTr="00356C76">
        <w:trPr>
          <w:trHeight w:val="58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rPr>
                <w:rFonts w:eastAsia="Times New Roman"/>
              </w:rPr>
            </w:pPr>
            <w:r>
              <w:rPr>
                <w:rFonts w:eastAsia="Times New Roman"/>
                <w:b w:val="0"/>
                <w:bCs w:val="0"/>
              </w:rPr>
              <w:t>Дотации бюджетам сельских поселений на выравнивание бюджетной обеспеченности из бюджетов муниципальных районов</w:t>
            </w:r>
          </w:p>
        </w:tc>
        <w:tc>
          <w:tcPr>
            <w:tcW w:w="1431"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359,24200</w:t>
            </w:r>
          </w:p>
        </w:tc>
        <w:tc>
          <w:tcPr>
            <w:tcW w:w="1470"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0,00000</w:t>
            </w:r>
          </w:p>
        </w:tc>
        <w:tc>
          <w:tcPr>
            <w:tcW w:w="1470"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0,00000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w:t>
            </w:r>
          </w:p>
        </w:tc>
      </w:tr>
      <w:tr w:rsidR="002936A3" w:rsidTr="00356C76">
        <w:trPr>
          <w:trHeight w:val="7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rPr>
                <w:rFonts w:eastAsia="Times New Roman"/>
              </w:rPr>
            </w:pPr>
            <w:r>
              <w:rPr>
                <w:rFonts w:eastAsia="Times New Roman"/>
                <w:b w:val="0"/>
                <w:bCs w:val="0"/>
              </w:rPr>
              <w:lastRenderedPageBreak/>
              <w:t xml:space="preserve">Дотации бюджетам сельских поселений на выравнивание бюджетной обеспеченности из бюджета Республики Алтай </w:t>
            </w:r>
          </w:p>
        </w:tc>
        <w:tc>
          <w:tcPr>
            <w:tcW w:w="1431"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388,48900</w:t>
            </w:r>
          </w:p>
        </w:tc>
        <w:tc>
          <w:tcPr>
            <w:tcW w:w="1470"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0,00000</w:t>
            </w:r>
          </w:p>
        </w:tc>
        <w:tc>
          <w:tcPr>
            <w:tcW w:w="1470"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0,00000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w:t>
            </w:r>
          </w:p>
        </w:tc>
      </w:tr>
      <w:tr w:rsidR="002936A3" w:rsidTr="00356C76">
        <w:trPr>
          <w:trHeight w:val="7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rPr>
                <w:rFonts w:eastAsia="Times New Roman"/>
              </w:rPr>
            </w:pPr>
            <w:r>
              <w:rPr>
                <w:rFonts w:eastAsia="Times New Roman"/>
                <w:b w:val="0"/>
                <w:bCs w:val="0"/>
              </w:rPr>
              <w:t>Субсидии бюджетам бюджетной системы РФ (межбюджетные субсидии)</w:t>
            </w:r>
          </w:p>
        </w:tc>
        <w:tc>
          <w:tcPr>
            <w:tcW w:w="1431"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0,00000</w:t>
            </w:r>
          </w:p>
        </w:tc>
        <w:tc>
          <w:tcPr>
            <w:tcW w:w="1470"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0,00000</w:t>
            </w:r>
          </w:p>
        </w:tc>
        <w:tc>
          <w:tcPr>
            <w:tcW w:w="1470" w:type="dxa"/>
            <w:noWrap/>
          </w:tcPr>
          <w:p w:rsidR="002936A3" w:rsidRDefault="002936A3" w:rsidP="002936A3">
            <w:pPr>
              <w:spacing w:after="0" w:line="240" w:lineRule="auto"/>
              <w:ind w:right="68"/>
              <w:cnfStyle w:val="000000000000" w:firstRow="0" w:lastRow="0" w:firstColumn="0" w:lastColumn="0" w:oddVBand="0" w:evenVBand="0" w:oddHBand="0" w:evenHBand="0" w:firstRowFirstColumn="0" w:firstRowLastColumn="0" w:lastRowFirstColumn="0" w:lastRowLastColumn="0"/>
            </w:pPr>
            <w:r>
              <w:t>0,00000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w:t>
            </w:r>
          </w:p>
        </w:tc>
      </w:tr>
      <w:tr w:rsidR="002936A3" w:rsidTr="00356C76">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Субвенции бюджетам бюджетной системы Российской Федерации</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191,00000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232,10000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232,10000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85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Субвенции бюджетам сельских поселений на выполнение передаваемых полномочий субъектов Российской Федерации</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17,50000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20,00000</w:t>
            </w:r>
          </w:p>
        </w:tc>
        <w:tc>
          <w:tcPr>
            <w:tcW w:w="1470" w:type="dxa"/>
            <w:noWrap/>
          </w:tcPr>
          <w:p w:rsidR="002936A3" w:rsidRDefault="00914AF7" w:rsidP="002936A3">
            <w:pPr>
              <w:spacing w:after="0" w:line="240" w:lineRule="auto"/>
              <w:cnfStyle w:val="000000000000" w:firstRow="0" w:lastRow="0" w:firstColumn="0" w:lastColumn="0" w:oddVBand="0" w:evenVBand="0" w:oddHBand="0" w:evenHBand="0" w:firstRowFirstColumn="0" w:firstRowLastColumn="0" w:lastRowFirstColumn="0" w:lastRowLastColumn="0"/>
            </w:pPr>
            <w:r>
              <w:t>20,00000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Субвенции бюджетам сельских поселений на осуществление первичного воинского учета органами местного самоуправления поселений, муниципальных городских округов</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173,50000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212,10000</w:t>
            </w:r>
          </w:p>
        </w:tc>
        <w:tc>
          <w:tcPr>
            <w:tcW w:w="1470" w:type="dxa"/>
            <w:noWrap/>
          </w:tcPr>
          <w:p w:rsidR="002936A3" w:rsidRDefault="00914AF7" w:rsidP="002936A3">
            <w:pPr>
              <w:spacing w:after="0" w:line="240" w:lineRule="auto"/>
              <w:cnfStyle w:val="000000000000" w:firstRow="0" w:lastRow="0" w:firstColumn="0" w:lastColumn="0" w:oddVBand="0" w:evenVBand="0" w:oddHBand="0" w:evenHBand="0" w:firstRowFirstColumn="0" w:firstRowLastColumn="0" w:lastRowFirstColumn="0" w:lastRowLastColumn="0"/>
            </w:pPr>
            <w:r>
              <w:t>212,10000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Иные межбюджетные трансферты</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7 291,68600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4 997,13003</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4 997,13003</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дорожной деятельности в отношении дорог местного значения)</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highlight w:val="yellow"/>
              </w:rPr>
            </w:pPr>
            <w:r>
              <w:t>2 749,4200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highlight w:val="yellow"/>
              </w:rPr>
            </w:pPr>
            <w:r>
              <w:t>2 821,55000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highlight w:val="yellow"/>
              </w:rPr>
            </w:pPr>
            <w:r>
              <w:t>2 821,55000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полномочий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2 756,43600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32,29900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32,29900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созданию, содержанию и организации деятельности аварийно-спасательных служб и (или) аварийно-спасательных формирований на территории поселения) </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1 785,83000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2 115,68300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2 115,68300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Прочие межбюджетные трансферты, передаваемые бюджетам сельских поселений</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1 611,85645</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27,59803</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27,59803</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 xml:space="preserve">Поступления от денежных пожертвований, предоставляемых физическими лицами </w:t>
            </w:r>
            <w:r>
              <w:rPr>
                <w:b w:val="0"/>
                <w:bCs w:val="0"/>
              </w:rPr>
              <w:lastRenderedPageBreak/>
              <w:t>получателям средств бюджетов сельских поселений</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lastRenderedPageBreak/>
              <w:t>0,00000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147,00000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147,00000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100</w:t>
            </w:r>
          </w:p>
        </w:tc>
      </w:tr>
      <w:tr w:rsidR="002936A3" w:rsidTr="00356C76">
        <w:trPr>
          <w:trHeight w:val="64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lastRenderedPageBreak/>
              <w:t>ВОЗВРАТ ОСТАТКОВ СУБСИДИЙ, СУБВЕНЦИЙ И ИНЫХ МЕЖБЮДЖЕТНЫХ ТРАНСФЕРТОВ, ИМЕЮЩИХ ЦЕЛЕВОЕ НАЗНАЧЕНИЕ, ПРОШЛЫХ ЛЕТ</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-839,34200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-6,50000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-6,50000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rPr>
                <w:b/>
              </w:rPr>
            </w:pPr>
            <w:r>
              <w:rPr>
                <w:b/>
              </w:rPr>
              <w:t>-</w:t>
            </w:r>
          </w:p>
        </w:tc>
      </w:tr>
      <w:tr w:rsidR="002936A3" w:rsidTr="00356C76">
        <w:trPr>
          <w:trHeight w:val="645"/>
          <w:jc w:val="right"/>
        </w:trPr>
        <w:tc>
          <w:tcPr>
            <w:cnfStyle w:val="001000000000" w:firstRow="0" w:lastRow="0" w:firstColumn="1" w:lastColumn="0" w:oddVBand="0" w:evenVBand="0" w:oddHBand="0" w:evenHBand="0" w:firstRowFirstColumn="0" w:firstRowLastColumn="0" w:lastRowFirstColumn="0" w:lastRowLastColumn="0"/>
            <w:tcW w:w="4614" w:type="dxa"/>
          </w:tcPr>
          <w:p w:rsidR="002936A3" w:rsidRDefault="002936A3" w:rsidP="002936A3">
            <w:pPr>
              <w:spacing w:after="0" w:line="240" w:lineRule="auto"/>
              <w:jc w:val="left"/>
            </w:pPr>
            <w:r>
              <w:rPr>
                <w:b w:val="0"/>
                <w:bCs w:val="0"/>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1431"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-839,34200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-6,50000</w:t>
            </w:r>
          </w:p>
        </w:tc>
        <w:tc>
          <w:tcPr>
            <w:tcW w:w="147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-6,50000</w:t>
            </w:r>
          </w:p>
        </w:tc>
        <w:tc>
          <w:tcPr>
            <w:tcW w:w="860" w:type="dxa"/>
            <w:noWrap/>
          </w:tcPr>
          <w:p w:rsidR="002936A3" w:rsidRDefault="002936A3" w:rsidP="002936A3">
            <w:pPr>
              <w:spacing w:after="0" w:line="240" w:lineRule="auto"/>
              <w:cnfStyle w:val="000000000000" w:firstRow="0" w:lastRow="0" w:firstColumn="0" w:lastColumn="0" w:oddVBand="0" w:evenVBand="0" w:oddHBand="0" w:evenHBand="0" w:firstRowFirstColumn="0" w:firstRowLastColumn="0" w:lastRowFirstColumn="0" w:lastRowLastColumn="0"/>
            </w:pPr>
            <w:r>
              <w:t>-</w:t>
            </w:r>
          </w:p>
        </w:tc>
      </w:tr>
    </w:tbl>
    <w:p w:rsidR="00356C76" w:rsidRDefault="00356C76">
      <w:pPr>
        <w:pStyle w:val="ConsPlusNormal"/>
      </w:pPr>
      <w:bookmarkStart w:id="17" w:name="_Toc130222731"/>
      <w:bookmarkStart w:id="18" w:name="_Toc131164245"/>
      <w:bookmarkEnd w:id="7"/>
      <w:bookmarkEnd w:id="8"/>
    </w:p>
    <w:p w:rsidR="00356C76" w:rsidRDefault="00356C76">
      <w:pPr>
        <w:pStyle w:val="ConsPlusNormal"/>
      </w:pPr>
    </w:p>
    <w:p w:rsidR="00356C76" w:rsidRDefault="00262BC8">
      <w:pPr>
        <w:pStyle w:val="1"/>
        <w:rPr>
          <w:color w:val="auto"/>
        </w:rPr>
      </w:pPr>
      <w:bookmarkStart w:id="19" w:name="_Toc100651364"/>
      <w:bookmarkStart w:id="20" w:name="_Toc161322861"/>
      <w:bookmarkEnd w:id="9"/>
      <w:bookmarkEnd w:id="10"/>
      <w:bookmarkEnd w:id="11"/>
      <w:bookmarkEnd w:id="12"/>
      <w:bookmarkEnd w:id="17"/>
      <w:bookmarkEnd w:id="18"/>
      <w:r>
        <w:rPr>
          <w:color w:val="auto"/>
        </w:rPr>
        <w:t xml:space="preserve">3. Расходы бюджета </w:t>
      </w:r>
      <w:bookmarkEnd w:id="19"/>
      <w:bookmarkEnd w:id="20"/>
      <w:r>
        <w:rPr>
          <w:color w:val="auto"/>
        </w:rPr>
        <w:t>сельского поселения</w:t>
      </w:r>
    </w:p>
    <w:p w:rsidR="00356C76" w:rsidRDefault="00356C76">
      <w:pPr>
        <w:ind w:right="424" w:firstLine="851"/>
      </w:pPr>
    </w:p>
    <w:p w:rsidR="00356C76" w:rsidRDefault="00262BC8">
      <w:pPr>
        <w:tabs>
          <w:tab w:val="left" w:pos="10206"/>
        </w:tabs>
        <w:autoSpaceDE w:val="0"/>
        <w:autoSpaceDN w:val="0"/>
        <w:adjustRightInd w:val="0"/>
        <w:spacing w:after="0"/>
        <w:ind w:right="-2" w:firstLine="709"/>
        <w:jc w:val="both"/>
        <w:rPr>
          <w:sz w:val="28"/>
          <w:szCs w:val="28"/>
        </w:rPr>
      </w:pPr>
      <w:r>
        <w:rPr>
          <w:sz w:val="28"/>
          <w:szCs w:val="28"/>
        </w:rPr>
        <w:t xml:space="preserve">Расходы бюджета за 2024 год составили 97 529,94721 тыс. </w:t>
      </w:r>
      <w:r>
        <w:rPr>
          <w:rFonts w:eastAsia="Times New Roman"/>
          <w:sz w:val="28"/>
          <w:szCs w:val="28"/>
        </w:rPr>
        <w:t>рублей</w:t>
      </w:r>
      <w:r>
        <w:rPr>
          <w:sz w:val="28"/>
          <w:szCs w:val="28"/>
        </w:rPr>
        <w:t xml:space="preserve"> при уточненном плане на год 141 602,64797 тыс. рублей, </w:t>
      </w:r>
      <w:r>
        <w:rPr>
          <w:bCs/>
          <w:spacing w:val="-2"/>
          <w:sz w:val="28"/>
          <w:szCs w:val="28"/>
        </w:rPr>
        <w:t xml:space="preserve">тем самым годовые назначения исполнены на </w:t>
      </w:r>
      <w:r>
        <w:rPr>
          <w:sz w:val="28"/>
          <w:szCs w:val="28"/>
        </w:rPr>
        <w:t xml:space="preserve">68,88%. </w:t>
      </w:r>
    </w:p>
    <w:p w:rsidR="00356C76" w:rsidRDefault="00262BC8">
      <w:pPr>
        <w:tabs>
          <w:tab w:val="left" w:pos="10206"/>
        </w:tabs>
        <w:autoSpaceDE w:val="0"/>
        <w:autoSpaceDN w:val="0"/>
        <w:adjustRightInd w:val="0"/>
        <w:spacing w:after="0"/>
        <w:ind w:right="-2" w:firstLine="709"/>
        <w:jc w:val="both"/>
        <w:rPr>
          <w:sz w:val="28"/>
          <w:szCs w:val="28"/>
        </w:rPr>
      </w:pPr>
      <w:r>
        <w:rPr>
          <w:rFonts w:eastAsia="Times New Roman"/>
          <w:sz w:val="28"/>
          <w:szCs w:val="28"/>
        </w:rPr>
        <w:t xml:space="preserve">Показатели расходов бюджета сельского поселения за 2024 год по разделам классификации расходов бюджетов </w:t>
      </w:r>
      <w:r>
        <w:rPr>
          <w:sz w:val="28"/>
          <w:szCs w:val="28"/>
        </w:rPr>
        <w:t xml:space="preserve">представлены в таблице 5. </w:t>
      </w:r>
    </w:p>
    <w:p w:rsidR="00356C76" w:rsidRDefault="00356C76">
      <w:pPr>
        <w:spacing w:after="0" w:line="240" w:lineRule="auto"/>
        <w:ind w:right="-2" w:firstLine="709"/>
        <w:rPr>
          <w:rFonts w:eastAsia="Times New Roman"/>
          <w:sz w:val="24"/>
          <w:szCs w:val="24"/>
        </w:rPr>
      </w:pPr>
    </w:p>
    <w:p w:rsidR="00356C76" w:rsidRDefault="00262BC8">
      <w:pPr>
        <w:spacing w:after="0" w:line="240" w:lineRule="auto"/>
        <w:ind w:right="-2"/>
        <w:rPr>
          <w:rFonts w:eastAsia="Times New Roman"/>
          <w:sz w:val="24"/>
          <w:szCs w:val="24"/>
        </w:rPr>
      </w:pPr>
      <w:r>
        <w:rPr>
          <w:rFonts w:eastAsia="Times New Roman"/>
          <w:sz w:val="24"/>
          <w:szCs w:val="24"/>
        </w:rPr>
        <w:t>Таблица 5</w:t>
      </w:r>
    </w:p>
    <w:p w:rsidR="00356C76" w:rsidRDefault="00262BC8">
      <w:pPr>
        <w:tabs>
          <w:tab w:val="left" w:pos="8930"/>
        </w:tabs>
        <w:spacing w:after="0" w:line="240" w:lineRule="auto"/>
        <w:ind w:right="424"/>
        <w:jc w:val="center"/>
        <w:rPr>
          <w:rFonts w:eastAsia="Times New Roman"/>
          <w:b/>
          <w:sz w:val="28"/>
          <w:szCs w:val="28"/>
        </w:rPr>
      </w:pPr>
      <w:r>
        <w:rPr>
          <w:rFonts w:eastAsia="Times New Roman"/>
          <w:b/>
          <w:sz w:val="28"/>
          <w:szCs w:val="28"/>
        </w:rPr>
        <w:t>Показатели расходов бюджета сельского поселения за 2024 год по разделам классификации расходов бюджетов</w:t>
      </w:r>
    </w:p>
    <w:p w:rsidR="00356C76" w:rsidRDefault="00262BC8">
      <w:pPr>
        <w:autoSpaceDE w:val="0"/>
        <w:autoSpaceDN w:val="0"/>
        <w:adjustRightInd w:val="0"/>
        <w:spacing w:after="0"/>
        <w:ind w:right="-2" w:firstLine="709"/>
        <w:rPr>
          <w:rFonts w:eastAsia="Times New Roman"/>
          <w:sz w:val="24"/>
          <w:szCs w:val="24"/>
        </w:rPr>
      </w:pPr>
      <w:r>
        <w:rPr>
          <w:rFonts w:eastAsia="Times New Roman"/>
          <w:sz w:val="24"/>
          <w:szCs w:val="24"/>
        </w:rPr>
        <w:t>(тыс. Рублей)</w:t>
      </w:r>
    </w:p>
    <w:tbl>
      <w:tblPr>
        <w:tblW w:w="9482" w:type="dxa"/>
        <w:tblInd w:w="113" w:type="dxa"/>
        <w:tblLook w:val="04A0" w:firstRow="1" w:lastRow="0" w:firstColumn="1" w:lastColumn="0" w:noHBand="0" w:noVBand="1"/>
      </w:tblPr>
      <w:tblGrid>
        <w:gridCol w:w="2968"/>
        <w:gridCol w:w="1656"/>
        <w:gridCol w:w="1656"/>
        <w:gridCol w:w="1536"/>
        <w:gridCol w:w="1666"/>
      </w:tblGrid>
      <w:tr w:rsidR="00356C76">
        <w:trPr>
          <w:trHeight w:val="315"/>
        </w:trPr>
        <w:tc>
          <w:tcPr>
            <w:tcW w:w="296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 xml:space="preserve">Наименование разделов классификации расходов бюджетов </w:t>
            </w:r>
          </w:p>
        </w:tc>
        <w:tc>
          <w:tcPr>
            <w:tcW w:w="165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2023 год (отчет)</w:t>
            </w:r>
          </w:p>
        </w:tc>
        <w:tc>
          <w:tcPr>
            <w:tcW w:w="4858" w:type="dxa"/>
            <w:gridSpan w:val="3"/>
            <w:tcBorders>
              <w:top w:val="single" w:sz="4" w:space="0" w:color="auto"/>
              <w:left w:val="nil"/>
              <w:bottom w:val="single" w:sz="4" w:space="0" w:color="auto"/>
              <w:right w:val="single" w:sz="4" w:space="0" w:color="000000"/>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 xml:space="preserve">2024 год  </w:t>
            </w:r>
          </w:p>
        </w:tc>
      </w:tr>
      <w:tr w:rsidR="00356C76">
        <w:trPr>
          <w:trHeight w:val="630"/>
        </w:trPr>
        <w:tc>
          <w:tcPr>
            <w:tcW w:w="2968" w:type="dxa"/>
            <w:vMerge/>
            <w:tcBorders>
              <w:top w:val="single" w:sz="4" w:space="0" w:color="auto"/>
              <w:left w:val="single" w:sz="4" w:space="0" w:color="auto"/>
              <w:bottom w:val="single" w:sz="4" w:space="0" w:color="000000"/>
              <w:right w:val="single" w:sz="4" w:space="0" w:color="auto"/>
            </w:tcBorders>
            <w:vAlign w:val="center"/>
          </w:tcPr>
          <w:p w:rsidR="00356C76" w:rsidRDefault="00356C76">
            <w:pPr>
              <w:spacing w:after="0" w:line="240" w:lineRule="auto"/>
              <w:jc w:val="left"/>
              <w:rPr>
                <w:rFonts w:eastAsia="Times New Roman"/>
                <w:b/>
                <w:bCs/>
              </w:rPr>
            </w:pPr>
          </w:p>
        </w:tc>
        <w:tc>
          <w:tcPr>
            <w:tcW w:w="1656" w:type="dxa"/>
            <w:vMerge/>
            <w:tcBorders>
              <w:top w:val="single" w:sz="4" w:space="0" w:color="auto"/>
              <w:left w:val="single" w:sz="4" w:space="0" w:color="auto"/>
              <w:bottom w:val="single" w:sz="4" w:space="0" w:color="000000"/>
              <w:right w:val="single" w:sz="4" w:space="0" w:color="auto"/>
            </w:tcBorders>
            <w:vAlign w:val="center"/>
          </w:tcPr>
          <w:p w:rsidR="00356C76" w:rsidRDefault="00356C76">
            <w:pPr>
              <w:spacing w:after="0" w:line="240" w:lineRule="auto"/>
              <w:jc w:val="left"/>
              <w:rPr>
                <w:rFonts w:eastAsia="Times New Roman"/>
                <w:b/>
                <w:bCs/>
              </w:rPr>
            </w:pP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 xml:space="preserve">Уточнённый план </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Исполнено</w:t>
            </w:r>
          </w:p>
        </w:tc>
        <w:tc>
          <w:tcPr>
            <w:tcW w:w="166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 исполнения</w:t>
            </w:r>
          </w:p>
        </w:tc>
      </w:tr>
      <w:tr w:rsidR="00356C76">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Общегосударственные вопросы</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7 494,94921</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32 432,25372</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24 485,14704</w:t>
            </w:r>
          </w:p>
        </w:tc>
        <w:tc>
          <w:tcPr>
            <w:tcW w:w="166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75,50</w:t>
            </w:r>
          </w:p>
        </w:tc>
      </w:tr>
      <w:tr w:rsidR="00356C76">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Национальная оборона</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173,50000</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212,10000</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212,10000</w:t>
            </w:r>
          </w:p>
        </w:tc>
        <w:tc>
          <w:tcPr>
            <w:tcW w:w="166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100,00</w:t>
            </w:r>
          </w:p>
        </w:tc>
      </w:tr>
      <w:tr w:rsidR="00356C76">
        <w:trPr>
          <w:trHeight w:val="510"/>
        </w:trPr>
        <w:tc>
          <w:tcPr>
            <w:tcW w:w="296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Национальная безопасность и правоохранительная деятельность</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2 847,32778</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2 844,28103</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2 788,32967</w:t>
            </w:r>
          </w:p>
        </w:tc>
        <w:tc>
          <w:tcPr>
            <w:tcW w:w="166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98,03</w:t>
            </w:r>
          </w:p>
        </w:tc>
      </w:tr>
      <w:tr w:rsidR="00356C76">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Национальная экономика</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3 149,42000</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3 921,54900</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2 070,53360</w:t>
            </w:r>
          </w:p>
        </w:tc>
        <w:tc>
          <w:tcPr>
            <w:tcW w:w="166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52,80</w:t>
            </w:r>
          </w:p>
        </w:tc>
      </w:tr>
      <w:tr w:rsidR="00356C76">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Жилищно-коммунальное хозяйство</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33 279,77549</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68 494,74775</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35 411,89453</w:t>
            </w:r>
          </w:p>
        </w:tc>
        <w:tc>
          <w:tcPr>
            <w:tcW w:w="166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51,70</w:t>
            </w:r>
          </w:p>
        </w:tc>
      </w:tr>
      <w:tr w:rsidR="00356C76">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Культура, кинематография</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1 500,00000</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364,22590</w:t>
            </w:r>
          </w:p>
        </w:tc>
        <w:tc>
          <w:tcPr>
            <w:tcW w:w="166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24,28</w:t>
            </w:r>
          </w:p>
        </w:tc>
      </w:tr>
      <w:tr w:rsidR="00356C76">
        <w:trPr>
          <w:trHeight w:val="255"/>
        </w:trPr>
        <w:tc>
          <w:tcPr>
            <w:tcW w:w="296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Социальная политика</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46,00000</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73,32000</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73,32000</w:t>
            </w:r>
          </w:p>
        </w:tc>
        <w:tc>
          <w:tcPr>
            <w:tcW w:w="166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100,00</w:t>
            </w:r>
          </w:p>
        </w:tc>
      </w:tr>
      <w:tr w:rsidR="00356C76">
        <w:trPr>
          <w:trHeight w:val="510"/>
        </w:trPr>
        <w:tc>
          <w:tcPr>
            <w:tcW w:w="296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rPr>
            </w:pPr>
            <w:r>
              <w:rPr>
                <w:rFonts w:eastAsia="Times New Roman"/>
              </w:rPr>
              <w:t>Межбюджетные трансферты общего характера бюджетам бюджетной системы Российской Федерации</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131 396,84756</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32 124,39647</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32 124,39647</w:t>
            </w:r>
          </w:p>
        </w:tc>
        <w:tc>
          <w:tcPr>
            <w:tcW w:w="166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100,00</w:t>
            </w:r>
          </w:p>
        </w:tc>
      </w:tr>
      <w:tr w:rsidR="00356C76">
        <w:trPr>
          <w:trHeight w:val="390"/>
        </w:trPr>
        <w:tc>
          <w:tcPr>
            <w:tcW w:w="2968" w:type="dxa"/>
            <w:tcBorders>
              <w:top w:val="nil"/>
              <w:left w:val="single" w:sz="4" w:space="0" w:color="auto"/>
              <w:bottom w:val="single" w:sz="4" w:space="0" w:color="auto"/>
              <w:right w:val="single" w:sz="4" w:space="0" w:color="auto"/>
            </w:tcBorders>
            <w:shd w:val="clear" w:color="auto" w:fill="auto"/>
            <w:vAlign w:val="bottom"/>
          </w:tcPr>
          <w:p w:rsidR="00356C76" w:rsidRDefault="00262BC8">
            <w:pPr>
              <w:spacing w:after="0" w:line="240" w:lineRule="auto"/>
              <w:jc w:val="left"/>
              <w:rPr>
                <w:rFonts w:eastAsia="Times New Roman"/>
                <w:b/>
                <w:bCs/>
              </w:rPr>
            </w:pPr>
            <w:r>
              <w:rPr>
                <w:rFonts w:eastAsia="Times New Roman"/>
                <w:b/>
                <w:bCs/>
              </w:rPr>
              <w:t>Всего:</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178 387,82004</w:t>
            </w:r>
          </w:p>
        </w:tc>
        <w:tc>
          <w:tcPr>
            <w:tcW w:w="165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141 602,64797</w:t>
            </w:r>
          </w:p>
        </w:tc>
        <w:tc>
          <w:tcPr>
            <w:tcW w:w="1536"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97 529,94721</w:t>
            </w:r>
          </w:p>
        </w:tc>
        <w:tc>
          <w:tcPr>
            <w:tcW w:w="166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68,88</w:t>
            </w:r>
          </w:p>
        </w:tc>
      </w:tr>
    </w:tbl>
    <w:p w:rsidR="00356C76" w:rsidRDefault="00356C76">
      <w:pPr>
        <w:tabs>
          <w:tab w:val="left" w:pos="10206"/>
        </w:tabs>
        <w:autoSpaceDE w:val="0"/>
        <w:autoSpaceDN w:val="0"/>
        <w:adjustRightInd w:val="0"/>
        <w:spacing w:after="0"/>
        <w:ind w:right="424" w:firstLine="709"/>
        <w:jc w:val="both"/>
        <w:rPr>
          <w:sz w:val="28"/>
          <w:szCs w:val="28"/>
        </w:rPr>
      </w:pPr>
    </w:p>
    <w:p w:rsidR="00356C76" w:rsidRDefault="00262BC8">
      <w:pPr>
        <w:spacing w:after="0"/>
        <w:ind w:right="-2" w:firstLine="709"/>
        <w:jc w:val="both"/>
        <w:rPr>
          <w:sz w:val="28"/>
          <w:szCs w:val="28"/>
        </w:rPr>
      </w:pPr>
      <w:r>
        <w:rPr>
          <w:sz w:val="28"/>
          <w:szCs w:val="28"/>
        </w:rPr>
        <w:t xml:space="preserve">Анализ исполнения расходной части бюджета по разделам и подразделам классификации расходов в сравнении с первоначально </w:t>
      </w:r>
      <w:r>
        <w:rPr>
          <w:sz w:val="28"/>
          <w:szCs w:val="28"/>
        </w:rPr>
        <w:lastRenderedPageBreak/>
        <w:t xml:space="preserve">утверждёнными показателями представлен в приложении </w:t>
      </w:r>
      <w:r w:rsidR="00914AF7">
        <w:rPr>
          <w:sz w:val="28"/>
          <w:szCs w:val="28"/>
        </w:rPr>
        <w:t>2</w:t>
      </w:r>
      <w:r>
        <w:rPr>
          <w:sz w:val="28"/>
          <w:szCs w:val="28"/>
        </w:rPr>
        <w:t xml:space="preserve"> к пояснительной записке.</w:t>
      </w:r>
    </w:p>
    <w:p w:rsidR="00356C76" w:rsidRDefault="00262BC8">
      <w:pPr>
        <w:tabs>
          <w:tab w:val="left" w:pos="10206"/>
        </w:tabs>
        <w:autoSpaceDE w:val="0"/>
        <w:autoSpaceDN w:val="0"/>
        <w:adjustRightInd w:val="0"/>
        <w:spacing w:after="0"/>
        <w:ind w:right="-2" w:firstLine="709"/>
        <w:jc w:val="both"/>
        <w:rPr>
          <w:sz w:val="28"/>
          <w:szCs w:val="28"/>
        </w:rPr>
      </w:pPr>
      <w:r>
        <w:rPr>
          <w:sz w:val="28"/>
          <w:szCs w:val="28"/>
        </w:rPr>
        <w:t xml:space="preserve">Главным распорядителем бюджетных средств в сельском поселении является администрация сельского поселения с присвоением кода главного администратора 801. </w:t>
      </w:r>
    </w:p>
    <w:p w:rsidR="00356C76" w:rsidRDefault="00262BC8">
      <w:pPr>
        <w:tabs>
          <w:tab w:val="left" w:pos="10206"/>
        </w:tabs>
        <w:autoSpaceDE w:val="0"/>
        <w:autoSpaceDN w:val="0"/>
        <w:adjustRightInd w:val="0"/>
        <w:spacing w:after="0"/>
        <w:ind w:right="-2" w:firstLine="709"/>
        <w:jc w:val="both"/>
        <w:rPr>
          <w:sz w:val="28"/>
          <w:szCs w:val="28"/>
        </w:rPr>
      </w:pPr>
      <w:r>
        <w:rPr>
          <w:rFonts w:eastAsia="Calibri"/>
          <w:sz w:val="28"/>
          <w:szCs w:val="28"/>
        </w:rPr>
        <w:t xml:space="preserve">Главным инструментом, который призван обеспечить повышение результативности и эффективности бюджетных расходов являются муниципальная программа сельского поселения. </w:t>
      </w:r>
    </w:p>
    <w:p w:rsidR="00356C76" w:rsidRDefault="00262BC8">
      <w:pPr>
        <w:autoSpaceDE w:val="0"/>
        <w:autoSpaceDN w:val="0"/>
        <w:adjustRightInd w:val="0"/>
        <w:spacing w:after="0"/>
        <w:ind w:right="-2" w:firstLine="709"/>
        <w:jc w:val="both"/>
        <w:rPr>
          <w:rFonts w:eastAsia="Calibri"/>
          <w:sz w:val="28"/>
          <w:szCs w:val="28"/>
        </w:rPr>
      </w:pPr>
      <w:r>
        <w:rPr>
          <w:rFonts w:eastAsia="Calibri"/>
          <w:sz w:val="28"/>
          <w:szCs w:val="28"/>
        </w:rPr>
        <w:t>Доля программных мероприятий сельского поселения за 2024 год составила 41,</w:t>
      </w:r>
      <w:r w:rsidR="00914AF7">
        <w:rPr>
          <w:rFonts w:eastAsia="Calibri"/>
          <w:sz w:val="28"/>
          <w:szCs w:val="28"/>
        </w:rPr>
        <w:t>66</w:t>
      </w:r>
      <w:r>
        <w:rPr>
          <w:rFonts w:eastAsia="Calibri"/>
          <w:sz w:val="28"/>
          <w:szCs w:val="28"/>
        </w:rPr>
        <w:t>% расходов бюджета, или 40 634,98370 тыс. рублей. В сравнении с 2023 годом расходы на программные мероприятия увеличены</w:t>
      </w:r>
      <w:r w:rsidR="00B467F6">
        <w:rPr>
          <w:rFonts w:eastAsia="Calibri"/>
          <w:sz w:val="28"/>
          <w:szCs w:val="28"/>
        </w:rPr>
        <w:t xml:space="preserve"> </w:t>
      </w:r>
      <w:r w:rsidR="00B467F6">
        <w:rPr>
          <w:rFonts w:eastAsia="Calibri"/>
          <w:sz w:val="28"/>
          <w:szCs w:val="28"/>
        </w:rPr>
        <w:t>на 3,46%</w:t>
      </w:r>
      <w:r w:rsidR="00B467F6">
        <w:rPr>
          <w:rFonts w:eastAsia="Calibri"/>
          <w:sz w:val="28"/>
          <w:szCs w:val="28"/>
        </w:rPr>
        <w:t xml:space="preserve"> или</w:t>
      </w:r>
      <w:r>
        <w:rPr>
          <w:rFonts w:eastAsia="Calibri"/>
          <w:sz w:val="28"/>
          <w:szCs w:val="28"/>
        </w:rPr>
        <w:t xml:space="preserve"> н</w:t>
      </w:r>
      <w:r w:rsidR="00914AF7">
        <w:rPr>
          <w:rFonts w:eastAsia="Calibri"/>
          <w:sz w:val="28"/>
          <w:szCs w:val="28"/>
        </w:rPr>
        <w:t>а 1 358,46043 тыс. рублей</w:t>
      </w:r>
      <w:r>
        <w:rPr>
          <w:sz w:val="28"/>
          <w:szCs w:val="28"/>
        </w:rPr>
        <w:t xml:space="preserve">. </w:t>
      </w:r>
    </w:p>
    <w:p w:rsidR="00356C76" w:rsidRDefault="00356C76">
      <w:pPr>
        <w:pStyle w:val="ConsPlusNormal"/>
      </w:pPr>
    </w:p>
    <w:p w:rsidR="00356C76" w:rsidRDefault="00262BC8">
      <w:pPr>
        <w:keepNext/>
        <w:keepLines/>
        <w:spacing w:after="0" w:line="240" w:lineRule="auto"/>
        <w:ind w:right="424"/>
        <w:jc w:val="center"/>
        <w:outlineLvl w:val="0"/>
        <w:rPr>
          <w:rStyle w:val="10"/>
          <w:color w:val="auto"/>
        </w:rPr>
      </w:pPr>
      <w:bookmarkStart w:id="21" w:name="_Toc130222752"/>
      <w:bookmarkStart w:id="22" w:name="_Toc161322881"/>
      <w:bookmarkStart w:id="23" w:name="_Toc131164292"/>
      <w:r>
        <w:rPr>
          <w:rFonts w:eastAsiaTheme="majorEastAsia"/>
          <w:b/>
          <w:bCs/>
          <w:sz w:val="32"/>
          <w:szCs w:val="32"/>
        </w:rPr>
        <w:t>4</w:t>
      </w:r>
      <w:r>
        <w:rPr>
          <w:rStyle w:val="10"/>
          <w:color w:val="auto"/>
        </w:rPr>
        <w:t>. Источники финансирования дефицита бюджета сельского поселения за 2024 год</w:t>
      </w:r>
      <w:bookmarkEnd w:id="21"/>
      <w:bookmarkEnd w:id="22"/>
      <w:bookmarkEnd w:id="23"/>
      <w:r>
        <w:rPr>
          <w:rStyle w:val="10"/>
          <w:color w:val="auto"/>
        </w:rPr>
        <w:t xml:space="preserve"> </w:t>
      </w:r>
    </w:p>
    <w:p w:rsidR="00356C76" w:rsidRDefault="00356C76">
      <w:pPr>
        <w:tabs>
          <w:tab w:val="left" w:pos="8505"/>
        </w:tabs>
        <w:ind w:right="141" w:firstLine="708"/>
        <w:jc w:val="both"/>
        <w:rPr>
          <w:rFonts w:eastAsia="Times New Roman"/>
          <w:sz w:val="28"/>
          <w:szCs w:val="28"/>
        </w:rPr>
      </w:pPr>
    </w:p>
    <w:p w:rsidR="00356C76" w:rsidRDefault="00262BC8">
      <w:pPr>
        <w:tabs>
          <w:tab w:val="left" w:pos="8505"/>
        </w:tabs>
        <w:ind w:right="-2" w:firstLine="708"/>
        <w:jc w:val="both"/>
        <w:rPr>
          <w:rFonts w:eastAsia="Times New Roman"/>
          <w:sz w:val="28"/>
          <w:szCs w:val="28"/>
        </w:rPr>
      </w:pPr>
      <w:r>
        <w:rPr>
          <w:rFonts w:eastAsia="Times New Roman"/>
          <w:sz w:val="28"/>
          <w:szCs w:val="28"/>
        </w:rPr>
        <w:t xml:space="preserve">По итогам исполнения бюджета сельского поселения за 2024 год сложился дефицит в сумме 9 642,27879 тыс. рублей.  </w:t>
      </w:r>
    </w:p>
    <w:p w:rsidR="00356C76" w:rsidRDefault="00262BC8">
      <w:pPr>
        <w:tabs>
          <w:tab w:val="left" w:pos="8505"/>
        </w:tabs>
        <w:spacing w:after="0"/>
        <w:ind w:right="141" w:firstLine="720"/>
        <w:jc w:val="both"/>
        <w:rPr>
          <w:rFonts w:eastAsia="Times New Roman"/>
          <w:sz w:val="28"/>
          <w:szCs w:val="28"/>
        </w:rPr>
      </w:pPr>
      <w:r>
        <w:rPr>
          <w:rFonts w:eastAsia="Times New Roman"/>
          <w:sz w:val="28"/>
          <w:szCs w:val="28"/>
        </w:rPr>
        <w:t xml:space="preserve">Сальдо источников внутреннего финансирования дефицита бюджета на 1 января 2025 года составило </w:t>
      </w:r>
      <w:r>
        <w:rPr>
          <w:sz w:val="28"/>
          <w:szCs w:val="28"/>
        </w:rPr>
        <w:t xml:space="preserve">9 642,27879 </w:t>
      </w:r>
      <w:r>
        <w:rPr>
          <w:rFonts w:eastAsia="Times New Roman"/>
          <w:sz w:val="28"/>
          <w:szCs w:val="28"/>
        </w:rPr>
        <w:t>тыс. рублей – изменение остатков средств на счетах по учёту средств бюджета.</w:t>
      </w:r>
    </w:p>
    <w:p w:rsidR="00356C76" w:rsidRDefault="00262BC8">
      <w:pPr>
        <w:jc w:val="left"/>
        <w:rPr>
          <w:rFonts w:eastAsia="Times New Roman"/>
          <w:sz w:val="28"/>
          <w:szCs w:val="28"/>
        </w:rPr>
      </w:pPr>
      <w:r>
        <w:rPr>
          <w:rFonts w:eastAsia="Times New Roman"/>
          <w:sz w:val="28"/>
          <w:szCs w:val="28"/>
        </w:rPr>
        <w:br w:type="page"/>
      </w:r>
    </w:p>
    <w:p w:rsidR="00356C76" w:rsidRDefault="00356C76">
      <w:pPr>
        <w:pStyle w:val="1"/>
        <w:rPr>
          <w:color w:val="auto"/>
        </w:rPr>
        <w:sectPr w:rsidR="00356C76">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701" w:header="709" w:footer="709" w:gutter="0"/>
          <w:pgNumType w:start="0"/>
          <w:cols w:space="708"/>
          <w:titlePg/>
          <w:docGrid w:linePitch="360"/>
        </w:sectPr>
      </w:pPr>
      <w:bookmarkStart w:id="24" w:name="_Toc161322883"/>
      <w:bookmarkStart w:id="25" w:name="_Toc131164294"/>
    </w:p>
    <w:p w:rsidR="00356C76" w:rsidRDefault="00262BC8">
      <w:pPr>
        <w:pStyle w:val="1"/>
        <w:rPr>
          <w:color w:val="auto"/>
        </w:rPr>
      </w:pPr>
      <w:bookmarkStart w:id="26" w:name="_Toc161322884"/>
      <w:bookmarkStart w:id="27" w:name="_Toc131164295"/>
      <w:bookmarkStart w:id="28" w:name="_Toc100651388"/>
      <w:bookmarkEnd w:id="24"/>
      <w:bookmarkEnd w:id="25"/>
      <w:r>
        <w:rPr>
          <w:color w:val="auto"/>
        </w:rPr>
        <w:lastRenderedPageBreak/>
        <w:t>Приложение 1. Анализ исполнения доходной части бюджета сельского поселения за 2024 год в сопоставлении с первоначально утверждёнными показателями, уточненными показателями</w:t>
      </w:r>
      <w:bookmarkEnd w:id="26"/>
      <w:bookmarkEnd w:id="27"/>
      <w:bookmarkEnd w:id="28"/>
    </w:p>
    <w:p w:rsidR="00356C76" w:rsidRDefault="00262BC8">
      <w:r>
        <w:rPr>
          <w:rFonts w:ascii="Times New Roman CYR" w:eastAsia="Times New Roman" w:hAnsi="Times New Roman CYR" w:cs="Times New Roman CYR"/>
          <w:b/>
          <w:bCs/>
          <w:sz w:val="24"/>
          <w:szCs w:val="24"/>
        </w:rPr>
        <w:t xml:space="preserve"> (</w:t>
      </w:r>
      <w:r>
        <w:t>тыс. рублей)</w:t>
      </w:r>
    </w:p>
    <w:tbl>
      <w:tblPr>
        <w:tblW w:w="14880" w:type="dxa"/>
        <w:tblLayout w:type="fixed"/>
        <w:tblLook w:val="04A0" w:firstRow="1" w:lastRow="0" w:firstColumn="1" w:lastColumn="0" w:noHBand="0" w:noVBand="1"/>
      </w:tblPr>
      <w:tblGrid>
        <w:gridCol w:w="2121"/>
        <w:gridCol w:w="3337"/>
        <w:gridCol w:w="1500"/>
        <w:gridCol w:w="1545"/>
        <w:gridCol w:w="1470"/>
        <w:gridCol w:w="1505"/>
        <w:gridCol w:w="1045"/>
        <w:gridCol w:w="1411"/>
        <w:gridCol w:w="946"/>
      </w:tblGrid>
      <w:tr w:rsidR="00356C76">
        <w:trPr>
          <w:trHeight w:val="1350"/>
        </w:trPr>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tcPr>
          <w:p w:rsidR="00356C76" w:rsidRDefault="00262BC8">
            <w:pPr>
              <w:spacing w:after="0" w:line="240" w:lineRule="auto"/>
              <w:jc w:val="center"/>
              <w:rPr>
                <w:rFonts w:eastAsia="Times New Roman"/>
                <w:b/>
                <w:bCs/>
              </w:rPr>
            </w:pPr>
            <w:r>
              <w:rPr>
                <w:rFonts w:eastAsia="Times New Roman"/>
                <w:b/>
                <w:bCs/>
              </w:rPr>
              <w:t>Код классификации доходов бюджета</w:t>
            </w:r>
          </w:p>
        </w:tc>
        <w:tc>
          <w:tcPr>
            <w:tcW w:w="3337" w:type="dxa"/>
            <w:tcBorders>
              <w:top w:val="single" w:sz="4" w:space="0" w:color="auto"/>
              <w:left w:val="nil"/>
              <w:bottom w:val="single" w:sz="4" w:space="0" w:color="auto"/>
              <w:right w:val="single" w:sz="4" w:space="0" w:color="auto"/>
            </w:tcBorders>
            <w:shd w:val="clear" w:color="000000" w:fill="FFFFFF"/>
            <w:vAlign w:val="center"/>
          </w:tcPr>
          <w:p w:rsidR="00356C76" w:rsidRDefault="00262BC8">
            <w:pPr>
              <w:spacing w:after="0" w:line="240" w:lineRule="auto"/>
              <w:jc w:val="center"/>
              <w:rPr>
                <w:rFonts w:eastAsia="Times New Roman"/>
                <w:b/>
                <w:bCs/>
              </w:rPr>
            </w:pPr>
            <w:r>
              <w:rPr>
                <w:rFonts w:eastAsia="Times New Roman"/>
                <w:b/>
                <w:bCs/>
              </w:rPr>
              <w:t>Наименование кода классификации доходов</w:t>
            </w:r>
          </w:p>
        </w:tc>
        <w:tc>
          <w:tcPr>
            <w:tcW w:w="1500"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Первоначально утвержденный план на 2024 год (РСД от 27.12.2023 № 14-24)</w:t>
            </w:r>
          </w:p>
        </w:tc>
        <w:tc>
          <w:tcPr>
            <w:tcW w:w="154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Утонченный план на 2024 год</w:t>
            </w:r>
          </w:p>
        </w:tc>
        <w:tc>
          <w:tcPr>
            <w:tcW w:w="1470"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Исполнено за 2024 год</w:t>
            </w:r>
          </w:p>
        </w:tc>
        <w:tc>
          <w:tcPr>
            <w:tcW w:w="150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Отклонение от первоначально утвержденного плана на 2024 год</w:t>
            </w:r>
          </w:p>
        </w:tc>
        <w:tc>
          <w:tcPr>
            <w:tcW w:w="104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 исполнения к первоначально утвержденному плану 2024 года</w:t>
            </w:r>
          </w:p>
        </w:tc>
        <w:tc>
          <w:tcPr>
            <w:tcW w:w="1411"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Отклонение от уточненного плана на 2024 год</w:t>
            </w:r>
          </w:p>
        </w:tc>
        <w:tc>
          <w:tcPr>
            <w:tcW w:w="946"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 исполнения к уточненному плану 2024 года</w:t>
            </w:r>
          </w:p>
        </w:tc>
      </w:tr>
      <w:tr w:rsidR="00356C76">
        <w:trPr>
          <w:trHeight w:val="510"/>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000 1 00 00000 00 0000 000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 xml:space="preserve">НАЛОГОВЫЕ И НЕНАЛОГОВЫЕ ДОХОДЫ </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12 760,60000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82 636,53775</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82 517,93839</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69 757,33839</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646,66</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-118,59936</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99,86</w:t>
            </w:r>
          </w:p>
        </w:tc>
      </w:tr>
      <w:tr w:rsidR="00356C76">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000 1 01 00000 00 0000 000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НАЛОГИ НА ПРИБЫЛЬ, ДОХОДЫ</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4 952,00000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13 960,50000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13 661,80240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8 709,8024</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275,88</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-298,69760</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97,86</w:t>
            </w:r>
          </w:p>
        </w:tc>
      </w:tr>
      <w:tr w:rsidR="00356C76">
        <w:trPr>
          <w:trHeight w:val="450"/>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000 1 01 02000 01 0000 110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Налог на доходы физических лиц</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4 952,00000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13 960,50000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13 661,80240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8 709,8024</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275,88</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-298,69760</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97,86</w:t>
            </w:r>
          </w:p>
        </w:tc>
      </w:tr>
      <w:tr w:rsidR="00356C76">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000 1 05 00000 00 0000 000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НАЛОГИ НА СОВОКУПНЫЙ ДОХОД</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2,68200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2,68200</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-0,01800</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99,33</w:t>
            </w:r>
          </w:p>
        </w:tc>
      </w:tr>
      <w:tr w:rsidR="00356C76">
        <w:trPr>
          <w:trHeight w:val="97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000 1 05 03000 01 0000 110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Единый сельскохозяйственный налог</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2,68200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2,68200</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-0,01800</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99,33</w:t>
            </w:r>
          </w:p>
        </w:tc>
      </w:tr>
      <w:tr w:rsidR="00356C76">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000 1 06 00000 00 0000 000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НАЛОГИ НА ИМУЩЕСТВО</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3 495,00000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5 826,00000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5 767,48147</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4 399,32093</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225,87</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-58,51853</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99,00</w:t>
            </w:r>
          </w:p>
        </w:tc>
      </w:tr>
      <w:tr w:rsidR="00356C76">
        <w:trPr>
          <w:trHeight w:val="157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000 1 06 01000 00 0000 110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Налог на имущество физических лиц</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350,00000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782,00000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714,35809</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364,35809</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104,10</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-67,64191</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91,35</w:t>
            </w:r>
          </w:p>
        </w:tc>
      </w:tr>
      <w:tr w:rsidR="00356C76">
        <w:trPr>
          <w:trHeight w:val="1950"/>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lastRenderedPageBreak/>
              <w:t>000 1 06 06000 00 0000 110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Земельный налог</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3 145,00000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5 044,00000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5 053,12338</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1 908,12338</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160,67</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9,12338</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100,18</w:t>
            </w:r>
          </w:p>
        </w:tc>
      </w:tr>
      <w:tr w:rsidR="00356C76">
        <w:trPr>
          <w:trHeight w:val="1020"/>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000 1 11 00000 00 0000 000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ДОХОДЫ ОТ ИСПОЛЬЗОВАНИЯ ИМУЩЕСТВА, НАХОДЯЩЕГОСЯ В ГОСУДАРСТВЕННОЙ И МУНИЦИПАЛЬНОЙ СОБСТВЕННОСТИ</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3 784,00000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4 436,53550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4 834,96862</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1 050,96862</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127,77</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398,43312</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108,98</w:t>
            </w:r>
          </w:p>
        </w:tc>
      </w:tr>
      <w:tr w:rsidR="00356C76">
        <w:trPr>
          <w:trHeight w:val="2280"/>
        </w:trPr>
        <w:tc>
          <w:tcPr>
            <w:tcW w:w="212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000 1 11 05000 00 0000 120</w:t>
            </w:r>
          </w:p>
        </w:tc>
        <w:tc>
          <w:tcPr>
            <w:tcW w:w="3337" w:type="dxa"/>
            <w:tcBorders>
              <w:top w:val="single" w:sz="4" w:space="0" w:color="auto"/>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500" w:type="dxa"/>
            <w:tcBorders>
              <w:top w:val="single" w:sz="4" w:space="0" w:color="auto"/>
              <w:left w:val="nil"/>
              <w:bottom w:val="nil"/>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2 084,00000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1 986,22550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1 798,86685</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-285,13315</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86,32</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-187,35865</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90,57</w:t>
            </w:r>
          </w:p>
        </w:tc>
      </w:tr>
      <w:tr w:rsidR="00356C76">
        <w:trPr>
          <w:trHeight w:val="330"/>
        </w:trPr>
        <w:tc>
          <w:tcPr>
            <w:tcW w:w="212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 xml:space="preserve">000 1 11 09000 00 0000 120 </w:t>
            </w:r>
          </w:p>
        </w:tc>
        <w:tc>
          <w:tcPr>
            <w:tcW w:w="3337" w:type="dxa"/>
            <w:tcBorders>
              <w:top w:val="single" w:sz="4" w:space="0" w:color="auto"/>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w:t>
            </w:r>
            <w:r>
              <w:rPr>
                <w:rFonts w:eastAsia="Times New Roman"/>
              </w:rPr>
              <w:lastRenderedPageBreak/>
              <w:t>предприятий, в том числе казённых)</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lastRenderedPageBreak/>
              <w:t>1 700,00000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356C76">
            <w:pPr>
              <w:spacing w:after="0" w:line="240" w:lineRule="auto"/>
              <w:jc w:val="center"/>
              <w:rPr>
                <w:rFonts w:eastAsia="Times New Roman"/>
              </w:rPr>
            </w:pPr>
          </w:p>
          <w:p w:rsidR="00356C76" w:rsidRDefault="00262BC8">
            <w:pPr>
              <w:jc w:val="center"/>
              <w:rPr>
                <w:rFonts w:eastAsia="Times New Roman"/>
              </w:rPr>
            </w:pPr>
            <w:r>
              <w:rPr>
                <w:rFonts w:eastAsia="Times New Roman"/>
              </w:rPr>
              <w:t>2 450,00000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3 035,75049</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1 335,75049</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178,57</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585,75049</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123,91</w:t>
            </w:r>
          </w:p>
        </w:tc>
      </w:tr>
      <w:tr w:rsidR="00356C76">
        <w:trPr>
          <w:trHeight w:val="765"/>
        </w:trPr>
        <w:tc>
          <w:tcPr>
            <w:tcW w:w="212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lastRenderedPageBreak/>
              <w:t>000 1 13 00000 00 0000 000</w:t>
            </w:r>
          </w:p>
        </w:tc>
        <w:tc>
          <w:tcPr>
            <w:tcW w:w="3337" w:type="dxa"/>
            <w:tcBorders>
              <w:top w:val="single" w:sz="4" w:space="0" w:color="auto"/>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ДОХОДЫ ОТ ОКАЗАНИЯ ПЛАТНЫХ УСЛУГ И КОМПЕНСАЦИИ ЗАТРАТ ГОСУДАРСТВА</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320,00000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273,71248</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173,71248</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273,71</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-46,28752</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85,54</w:t>
            </w:r>
          </w:p>
        </w:tc>
      </w:tr>
      <w:tr w:rsidR="00356C76">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000 1 14 00000 00 0000 000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ДОХОДЫ ОТ ПРОДАЖИ МАТЕРИАЛЬНЫХ И НЕМАТЕРИАЛЬНЫХ АКТИВОВ</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124,60000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57 980,05225</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57 967,55510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57 842,95510</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46422,92</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-12,49715</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99,98</w:t>
            </w:r>
          </w:p>
        </w:tc>
      </w:tr>
      <w:tr w:rsidR="00356C76">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000 1 14 06000 00 0000 430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Доходы от продажи земельных участков, находящихся в государственной и муниципальной собственности</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124,60000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57 980,05225</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57 967,55510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57 842,95510</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46422,92</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-12,49715</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99,98</w:t>
            </w:r>
          </w:p>
        </w:tc>
      </w:tr>
      <w:tr w:rsidR="00356C76">
        <w:trPr>
          <w:trHeight w:val="720"/>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000 1 16 00000 00 0000 000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ШТРАФЫ, САНКЦИИ, ВОЗМЕЩЕНИЕ УЩЕРБА</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125,00000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110,75000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103,33014</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-21,66986</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82,66</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-7,41986</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93,30</w:t>
            </w:r>
          </w:p>
        </w:tc>
      </w:tr>
      <w:tr w:rsidR="00356C76">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000 1 17 00000 00 0000 000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ПРОЧИЕ НЕНАЛОГОВЫЕ ДОХОДЫ</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-93,59382</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-93,59382</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r>
      <w:tr w:rsidR="00356C76">
        <w:trPr>
          <w:trHeight w:val="990"/>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000 1 17 01050 10 0000 180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Невыясненные поступления, зачисляемые в бюджеты сельских поселений</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-93,59382</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-93,59382</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r>
      <w:tr w:rsidR="00356C76">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000 2 00 00000 00 0000 000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 xml:space="preserve">БЕЗВОЗМЕЗДНЫЕ ПОСТУПЛЕНИЯ </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5 137,63003</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5 369,73003</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5 369,73003</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232,10000</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104,52</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w:t>
            </w:r>
          </w:p>
        </w:tc>
      </w:tr>
      <w:tr w:rsidR="00356C76">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000 2 02 00000 00 0000 000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БЕЗВОЗМЕЗДНЫЕ ПОСТУПЛЕНИЯ ОТ ДРУГИХ БЮДЖЕТОВ БЮДЖЕТНОЙ СИСТЕМЫ РОССИЙСКОЙ ФЕДЕРАЦИИ</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5 137,63003</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5 229,23003</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5 229,23003</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91,60000</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101,78</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w:t>
            </w:r>
          </w:p>
        </w:tc>
      </w:tr>
      <w:tr w:rsidR="00356C76">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000 2 02 20000 00 0000 150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Субсидии бюджетам бюджетной системы Российской Федерации</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27,59803</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-27,59803</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r>
      <w:tr w:rsidR="00356C76">
        <w:trPr>
          <w:trHeight w:val="510"/>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000 2 02 30000 00  0000 150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Субвенции бюджетам бюджетной системы Российской Федерации</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140,50000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232,10000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232,10000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91,60000</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165,19</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lang w:val="en-US"/>
              </w:rPr>
            </w:pPr>
            <w:r>
              <w:rPr>
                <w:rFonts w:eastAsia="Times New Roman"/>
              </w:rPr>
              <w:t>100</w:t>
            </w:r>
          </w:p>
        </w:tc>
      </w:tr>
      <w:tr w:rsidR="00356C76">
        <w:trPr>
          <w:trHeight w:val="100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lastRenderedPageBreak/>
              <w:t>000 2 02 40000 00  0000 150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Иные межбюджетные трансферты</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4 969,53200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4 997,13003</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4 997,13003</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27,59803</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100,55</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w:t>
            </w:r>
          </w:p>
        </w:tc>
      </w:tr>
      <w:tr w:rsidR="00356C76">
        <w:trPr>
          <w:trHeight w:val="67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 xml:space="preserve">000 2 07 00 000 00 0000 000 </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ПРОЧИЕ БЕЗВОЗМЕЗДНЫЕ ПОСТУПЛЕНИЯ</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147,00000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147,00000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147,00000</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w:t>
            </w:r>
          </w:p>
        </w:tc>
      </w:tr>
      <w:tr w:rsidR="00356C76">
        <w:trPr>
          <w:trHeight w:val="127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000 2 19 00000 00 0000 000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ВОЗВРАТ ОСТАТКОВ СУБСИДИЙ, СУБВЕНЦИЙ И ИНЫХ МЕЖБЮДЖЕТНЫХ ТРАНСФЕРТОВ, ИМЕЮЩИХ ЦЕЛЕВОЕ НАЗНАЧЕНИЕ, ПРОШЛЫХ ЛЕТ</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-6,50000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-6,50000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r>
      <w:tr w:rsidR="00356C76">
        <w:trPr>
          <w:trHeight w:val="166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rPr>
            </w:pPr>
            <w:r>
              <w:rPr>
                <w:rFonts w:eastAsia="Times New Roman"/>
              </w:rPr>
              <w:t>000 2 19 00000 10 0000 150</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rPr>
            </w:pPr>
            <w:r>
              <w:rPr>
                <w:rFonts w:eastAsia="Times New Roman"/>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0,00000</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-6,50000</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-6,50000</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r>
      <w:tr w:rsidR="00356C76">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tcPr>
          <w:p w:rsidR="00356C76" w:rsidRDefault="00262BC8">
            <w:pPr>
              <w:spacing w:after="0" w:line="240" w:lineRule="auto"/>
              <w:jc w:val="left"/>
              <w:rPr>
                <w:rFonts w:eastAsia="Times New Roman"/>
                <w:b/>
                <w:bCs/>
              </w:rPr>
            </w:pPr>
            <w:r>
              <w:rPr>
                <w:rFonts w:eastAsia="Times New Roman"/>
                <w:b/>
                <w:bCs/>
              </w:rPr>
              <w:t> </w:t>
            </w:r>
          </w:p>
        </w:tc>
        <w:tc>
          <w:tcPr>
            <w:tcW w:w="3337" w:type="dxa"/>
            <w:tcBorders>
              <w:top w:val="nil"/>
              <w:left w:val="nil"/>
              <w:bottom w:val="single" w:sz="4" w:space="0" w:color="auto"/>
              <w:right w:val="single" w:sz="4" w:space="0" w:color="auto"/>
            </w:tcBorders>
            <w:shd w:val="clear" w:color="000000" w:fill="FFFFFF"/>
            <w:vAlign w:val="center"/>
          </w:tcPr>
          <w:p w:rsidR="00356C76" w:rsidRDefault="00262BC8">
            <w:pPr>
              <w:spacing w:after="0" w:line="240" w:lineRule="auto"/>
              <w:jc w:val="left"/>
              <w:rPr>
                <w:rFonts w:eastAsia="Times New Roman"/>
                <w:b/>
                <w:bCs/>
              </w:rPr>
            </w:pPr>
            <w:r>
              <w:rPr>
                <w:rFonts w:eastAsia="Times New Roman"/>
                <w:b/>
                <w:bCs/>
              </w:rPr>
              <w:t>ВСЕГО</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17 898,23003</w:t>
            </w:r>
          </w:p>
        </w:tc>
        <w:tc>
          <w:tcPr>
            <w:tcW w:w="15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88 006,26778</w:t>
            </w:r>
          </w:p>
        </w:tc>
        <w:tc>
          <w:tcPr>
            <w:tcW w:w="147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87 887,66842</w:t>
            </w:r>
          </w:p>
        </w:tc>
        <w:tc>
          <w:tcPr>
            <w:tcW w:w="15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69 989,43839</w:t>
            </w:r>
          </w:p>
        </w:tc>
        <w:tc>
          <w:tcPr>
            <w:tcW w:w="104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491,04</w:t>
            </w:r>
          </w:p>
        </w:tc>
        <w:tc>
          <w:tcPr>
            <w:tcW w:w="1411"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-118,59936</w:t>
            </w:r>
          </w:p>
        </w:tc>
        <w:tc>
          <w:tcPr>
            <w:tcW w:w="946"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99,87</w:t>
            </w:r>
          </w:p>
        </w:tc>
      </w:tr>
    </w:tbl>
    <w:p w:rsidR="00356C76" w:rsidRDefault="00262BC8">
      <w:pPr>
        <w:jc w:val="left"/>
        <w:rPr>
          <w:rFonts w:eastAsia="Times New Roman"/>
          <w:b/>
          <w:bCs/>
          <w:sz w:val="32"/>
          <w:szCs w:val="32"/>
        </w:rPr>
      </w:pPr>
      <w:bookmarkStart w:id="29" w:name="_Toc131164297"/>
      <w:r>
        <w:rPr>
          <w:rFonts w:eastAsia="Times New Roman"/>
          <w:b/>
          <w:bCs/>
        </w:rPr>
        <w:br w:type="page"/>
      </w:r>
    </w:p>
    <w:p w:rsidR="00356C76" w:rsidRDefault="00262BC8">
      <w:pPr>
        <w:pStyle w:val="1"/>
        <w:rPr>
          <w:color w:val="auto"/>
        </w:rPr>
      </w:pPr>
      <w:bookmarkStart w:id="30" w:name="_Toc161322886"/>
      <w:r>
        <w:rPr>
          <w:color w:val="auto"/>
        </w:rPr>
        <w:lastRenderedPageBreak/>
        <w:t>Приложение 2. Анализ исполнения расходной части бюджета сельского поселения и подразделам классификации расходов в сравнении с первоначально утвержденными показателями</w:t>
      </w:r>
      <w:bookmarkEnd w:id="29"/>
      <w:r>
        <w:rPr>
          <w:color w:val="auto"/>
        </w:rPr>
        <w:t xml:space="preserve"> в 2024 году</w:t>
      </w:r>
      <w:bookmarkEnd w:id="30"/>
    </w:p>
    <w:p w:rsidR="00356C76" w:rsidRDefault="00262BC8">
      <w:r>
        <w:t xml:space="preserve">    (тыс. рублей)</w:t>
      </w:r>
    </w:p>
    <w:tbl>
      <w:tblPr>
        <w:tblW w:w="15163" w:type="dxa"/>
        <w:tblLayout w:type="fixed"/>
        <w:tblLook w:val="04A0" w:firstRow="1" w:lastRow="0" w:firstColumn="1" w:lastColumn="0" w:noHBand="0" w:noVBand="1"/>
      </w:tblPr>
      <w:tblGrid>
        <w:gridCol w:w="3629"/>
        <w:gridCol w:w="945"/>
        <w:gridCol w:w="945"/>
        <w:gridCol w:w="1515"/>
        <w:gridCol w:w="1620"/>
        <w:gridCol w:w="1500"/>
        <w:gridCol w:w="1515"/>
        <w:gridCol w:w="1005"/>
        <w:gridCol w:w="1575"/>
        <w:gridCol w:w="914"/>
      </w:tblGrid>
      <w:tr w:rsidR="00356C76">
        <w:trPr>
          <w:trHeight w:val="2655"/>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Наименование раздела, подраздела бюджетной классификации</w:t>
            </w:r>
          </w:p>
        </w:tc>
        <w:tc>
          <w:tcPr>
            <w:tcW w:w="94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Раздел</w:t>
            </w:r>
          </w:p>
        </w:tc>
        <w:tc>
          <w:tcPr>
            <w:tcW w:w="94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Подраздел</w:t>
            </w:r>
          </w:p>
        </w:tc>
        <w:tc>
          <w:tcPr>
            <w:tcW w:w="151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 xml:space="preserve">Утвержденный план на 2024 год  </w:t>
            </w:r>
          </w:p>
        </w:tc>
        <w:tc>
          <w:tcPr>
            <w:tcW w:w="1620"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 xml:space="preserve">Уточненный план на 2024 год  </w:t>
            </w:r>
          </w:p>
        </w:tc>
        <w:tc>
          <w:tcPr>
            <w:tcW w:w="1500"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Исполнено за 2024 год</w:t>
            </w:r>
          </w:p>
        </w:tc>
        <w:tc>
          <w:tcPr>
            <w:tcW w:w="151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Отклонение между первоначально утвержденными показателями расходов и фактическими значениями (тыс. руб.)</w:t>
            </w:r>
          </w:p>
        </w:tc>
        <w:tc>
          <w:tcPr>
            <w:tcW w:w="100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 исполнения к первоначальному утвержденному плану на год</w:t>
            </w:r>
          </w:p>
        </w:tc>
        <w:tc>
          <w:tcPr>
            <w:tcW w:w="1575"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Отклонение между уточненным планом и фактическими значениями              (тыс. руб.)</w:t>
            </w:r>
          </w:p>
        </w:tc>
        <w:tc>
          <w:tcPr>
            <w:tcW w:w="914"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sz w:val="24"/>
                <w:szCs w:val="24"/>
              </w:rPr>
            </w:pPr>
            <w:r>
              <w:rPr>
                <w:rFonts w:eastAsia="Times New Roman"/>
                <w:b/>
                <w:bCs/>
                <w:sz w:val="24"/>
                <w:szCs w:val="24"/>
              </w:rPr>
              <w:t xml:space="preserve">% исполнения к уточненному плану на год </w:t>
            </w:r>
          </w:p>
        </w:tc>
      </w:tr>
      <w:tr w:rsidR="00356C76">
        <w:trPr>
          <w:trHeight w:val="255"/>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 xml:space="preserve"> Общегосударственные вопросы</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01</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4306,22000</w:t>
            </w:r>
          </w:p>
        </w:tc>
        <w:tc>
          <w:tcPr>
            <w:tcW w:w="162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32 432,25372</w:t>
            </w:r>
          </w:p>
        </w:tc>
        <w:tc>
          <w:tcPr>
            <w:tcW w:w="150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24485,14704</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20178,92704</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568,60</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-7947,10668</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75,50</w:t>
            </w:r>
          </w:p>
        </w:tc>
      </w:tr>
      <w:tr w:rsidR="00356C76">
        <w:trPr>
          <w:trHeight w:val="715"/>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Функционирование высшего должностного лица субъекта Российской Федерации и муниципального образования</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01</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02</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850,00000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1136,11372</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1135,96271</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285,96271</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133,64</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-0,15101</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99,99</w:t>
            </w:r>
          </w:p>
        </w:tc>
      </w:tr>
      <w:tr w:rsidR="00356C76">
        <w:trPr>
          <w:trHeight w:val="1053"/>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01</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04</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1210,00000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21842,00000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14727,92929</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13517,92929</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1217,18</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-7114,07071</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67,43</w:t>
            </w:r>
          </w:p>
        </w:tc>
      </w:tr>
      <w:tr w:rsidR="00356C76">
        <w:trPr>
          <w:trHeight w:val="485"/>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Обеспечение проведение выборов и референдумов</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01</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07</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r>
      <w:tr w:rsidR="00356C76">
        <w:trPr>
          <w:trHeight w:val="407"/>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Резервные фонды</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01</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11</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150,00000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500,00000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-150,00000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-500,00000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r>
      <w:tr w:rsidR="00356C76">
        <w:trPr>
          <w:trHeight w:val="487"/>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Другие общегосударственные вопросы</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01</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13</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1485,98898</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8954,14000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8621,25504</w:t>
            </w:r>
          </w:p>
        </w:tc>
        <w:tc>
          <w:tcPr>
            <w:tcW w:w="1515" w:type="dxa"/>
            <w:tcBorders>
              <w:top w:val="nil"/>
              <w:left w:val="nil"/>
              <w:bottom w:val="single" w:sz="4" w:space="0" w:color="auto"/>
              <w:right w:val="single" w:sz="4" w:space="0" w:color="auto"/>
            </w:tcBorders>
            <w:shd w:val="clear" w:color="auto" w:fill="auto"/>
            <w:vAlign w:val="center"/>
          </w:tcPr>
          <w:p w:rsidR="00356C76" w:rsidRDefault="00954B8A">
            <w:pPr>
              <w:spacing w:after="0" w:line="240" w:lineRule="auto"/>
              <w:jc w:val="center"/>
              <w:rPr>
                <w:rFonts w:eastAsia="Times New Roman"/>
              </w:rPr>
            </w:pPr>
            <w:r>
              <w:rPr>
                <w:rFonts w:eastAsia="Times New Roman"/>
              </w:rPr>
              <w:t>7135,26606</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954B8A">
            <w:pPr>
              <w:spacing w:after="0" w:line="240" w:lineRule="auto"/>
              <w:jc w:val="center"/>
              <w:rPr>
                <w:rFonts w:eastAsia="Times New Roman"/>
              </w:rPr>
            </w:pPr>
            <w:r>
              <w:rPr>
                <w:rFonts w:eastAsia="Times New Roman"/>
              </w:rPr>
              <w:t>580,17</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-332,88496</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96,28</w:t>
            </w:r>
          </w:p>
        </w:tc>
      </w:tr>
      <w:tr w:rsidR="00356C76">
        <w:trPr>
          <w:trHeight w:val="477"/>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rPr>
            </w:pPr>
            <w:r>
              <w:rPr>
                <w:rFonts w:eastAsia="Times New Roman"/>
                <w:b/>
              </w:rPr>
              <w:lastRenderedPageBreak/>
              <w:t>Национальная оборона</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rPr>
            </w:pPr>
            <w:r>
              <w:rPr>
                <w:rFonts w:eastAsia="Times New Roman"/>
                <w:b/>
              </w:rPr>
              <w:t>02</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rPr>
            </w:pPr>
            <w:r>
              <w:rPr>
                <w:rFonts w:eastAsia="Times New Roman"/>
                <w:b/>
              </w:rPr>
              <w:t>00</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rPr>
            </w:pPr>
            <w:r>
              <w:rPr>
                <w:rFonts w:eastAsia="Times New Roman"/>
                <w:b/>
              </w:rPr>
              <w:t>140,50000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rPr>
            </w:pPr>
            <w:r>
              <w:rPr>
                <w:rFonts w:eastAsia="Times New Roman"/>
                <w:b/>
              </w:rPr>
              <w:t>212,10000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rPr>
            </w:pPr>
            <w:r>
              <w:rPr>
                <w:rFonts w:eastAsia="Times New Roman"/>
                <w:b/>
              </w:rPr>
              <w:t>212,10000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rPr>
            </w:pPr>
            <w:r>
              <w:rPr>
                <w:rFonts w:eastAsia="Times New Roman"/>
                <w:b/>
              </w:rPr>
              <w:t>71,600000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150,96</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rPr>
            </w:pPr>
            <w:r>
              <w:rPr>
                <w:rFonts w:eastAsia="Times New Roman"/>
                <w:b/>
              </w:rPr>
              <w:t>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rPr>
            </w:pPr>
            <w:r>
              <w:rPr>
                <w:rFonts w:eastAsia="Times New Roman"/>
                <w:b/>
              </w:rPr>
              <w:t>100</w:t>
            </w:r>
          </w:p>
        </w:tc>
      </w:tr>
      <w:tr w:rsidR="00356C76">
        <w:trPr>
          <w:trHeight w:val="427"/>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Мобилизационная и вневойсковая подготовка</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02</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03</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140,50000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212,10000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212,10000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71,60000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150,96</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w:t>
            </w:r>
          </w:p>
        </w:tc>
      </w:tr>
      <w:tr w:rsidR="00356C76">
        <w:trPr>
          <w:trHeight w:val="510"/>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 xml:space="preserve"> Национальная безопасность и правоохранительная деятельность</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03</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2193,28103</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2844,28103</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2788,32967</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595,04864</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127,13</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-55,95136</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98,03</w:t>
            </w:r>
          </w:p>
        </w:tc>
      </w:tr>
      <w:tr w:rsidR="00356C76">
        <w:trPr>
          <w:trHeight w:val="423"/>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Гражданская оборона</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03</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09</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50,00000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50,00000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-50,0000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-50,00000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r>
      <w:tr w:rsidR="00356C76">
        <w:trPr>
          <w:trHeight w:val="770"/>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Защита населения и территории от чрезвычайных ситуаций природного и техногенного характера, пожарная безопасность</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03</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2115,68300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2766,68300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2760,73164</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645,04864</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130,49</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-5,95136</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99,78</w:t>
            </w:r>
          </w:p>
        </w:tc>
      </w:tr>
      <w:tr w:rsidR="00356C76">
        <w:trPr>
          <w:trHeight w:val="770"/>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Другие вопросы в области национальной безопасности и правоохранительной деятельности</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03</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14</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27,59803</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27,59803</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27,59803</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w:t>
            </w:r>
          </w:p>
        </w:tc>
      </w:tr>
      <w:tr w:rsidR="00356C76">
        <w:trPr>
          <w:trHeight w:val="255"/>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 xml:space="preserve"> Национальная экономика</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04</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2821,55000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3921,54900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2070,53360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-751,01640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73,38</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-1851,01540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52,80</w:t>
            </w:r>
          </w:p>
        </w:tc>
      </w:tr>
      <w:tr w:rsidR="00356C76">
        <w:trPr>
          <w:trHeight w:val="444"/>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Дорожное хозяйство (дорожные фонды)</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04</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09</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2821,55000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2821,55000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1797,12860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-1024,42140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63,69</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-1024,42140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63,69</w:t>
            </w:r>
          </w:p>
        </w:tc>
      </w:tr>
      <w:tr w:rsidR="00356C76">
        <w:trPr>
          <w:trHeight w:val="265"/>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Другие вопросы в области национальной экономики</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04</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12</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1099,99900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273,40500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273,40500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-826,59400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24,86</w:t>
            </w:r>
          </w:p>
        </w:tc>
      </w:tr>
      <w:tr w:rsidR="00356C76">
        <w:trPr>
          <w:trHeight w:val="255"/>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 xml:space="preserve"> Жилищно-коммунальное хозяйство</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05</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6467,25475</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68494,74775</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35411,89453</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28944,63978</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547,56</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-33082,85322</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51,70</w:t>
            </w:r>
          </w:p>
        </w:tc>
      </w:tr>
      <w:tr w:rsidR="00356C76">
        <w:trPr>
          <w:trHeight w:val="287"/>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Благоустройство</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05</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03</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6467,25475</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68494,74775</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35411,89453</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Cs/>
              </w:rPr>
            </w:pPr>
            <w:r>
              <w:rPr>
                <w:rFonts w:eastAsia="Times New Roman"/>
                <w:bCs/>
              </w:rPr>
              <w:t>28944,63978</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Cs/>
              </w:rPr>
            </w:pPr>
            <w:r>
              <w:rPr>
                <w:rFonts w:eastAsia="Times New Roman"/>
                <w:bCs/>
              </w:rPr>
              <w:t>547,56</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Cs/>
              </w:rPr>
            </w:pPr>
            <w:r>
              <w:rPr>
                <w:rFonts w:eastAsia="Times New Roman"/>
                <w:bCs/>
              </w:rPr>
              <w:t>-33082,85322</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Cs/>
              </w:rPr>
            </w:pPr>
            <w:r>
              <w:rPr>
                <w:rFonts w:eastAsia="Times New Roman"/>
                <w:bCs/>
              </w:rPr>
              <w:t>51,70</w:t>
            </w:r>
          </w:p>
        </w:tc>
      </w:tr>
      <w:tr w:rsidR="00356C76">
        <w:trPr>
          <w:trHeight w:val="287"/>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rPr>
            </w:pPr>
            <w:r>
              <w:rPr>
                <w:rFonts w:eastAsia="Times New Roman"/>
                <w:b/>
              </w:rPr>
              <w:t>Культура, кинематография</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rPr>
            </w:pPr>
            <w:r>
              <w:rPr>
                <w:rFonts w:eastAsia="Times New Roman"/>
                <w:b/>
              </w:rPr>
              <w:t>08</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rPr>
            </w:pPr>
            <w:r>
              <w:rPr>
                <w:rFonts w:eastAsia="Times New Roman"/>
                <w:b/>
              </w:rPr>
              <w:t>00</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rPr>
            </w:pPr>
            <w:r>
              <w:rPr>
                <w:rFonts w:eastAsia="Times New Roman"/>
                <w:b/>
              </w:rPr>
              <w:t>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rPr>
            </w:pPr>
            <w:r>
              <w:rPr>
                <w:rFonts w:eastAsia="Times New Roman"/>
                <w:b/>
              </w:rPr>
              <w:t>1500,00000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rPr>
            </w:pPr>
            <w:r>
              <w:rPr>
                <w:rFonts w:eastAsia="Times New Roman"/>
                <w:b/>
              </w:rPr>
              <w:t>364,22590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364,22590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-1135,77410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24,28</w:t>
            </w:r>
          </w:p>
        </w:tc>
      </w:tr>
      <w:tr w:rsidR="00356C76">
        <w:trPr>
          <w:trHeight w:val="287"/>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Культура</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08</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01</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1500,00000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364,22590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Cs/>
              </w:rPr>
            </w:pPr>
            <w:r>
              <w:rPr>
                <w:rFonts w:eastAsia="Times New Roman"/>
                <w:bCs/>
              </w:rPr>
              <w:t>364,22590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Cs/>
              </w:rPr>
            </w:pPr>
            <w:r>
              <w:rPr>
                <w:rFonts w:eastAsia="Times New Roman"/>
                <w:bCs/>
              </w:rPr>
              <w:t>-</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Cs/>
              </w:rPr>
            </w:pPr>
            <w:r>
              <w:rPr>
                <w:rFonts w:eastAsia="Times New Roman"/>
                <w:bCs/>
              </w:rPr>
              <w:t>-1135,77410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Cs/>
              </w:rPr>
            </w:pPr>
            <w:r>
              <w:rPr>
                <w:rFonts w:eastAsia="Times New Roman"/>
                <w:bCs/>
              </w:rPr>
              <w:t>24,28</w:t>
            </w:r>
          </w:p>
        </w:tc>
      </w:tr>
      <w:tr w:rsidR="00356C76">
        <w:trPr>
          <w:trHeight w:val="255"/>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 xml:space="preserve"> Социальная политика</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10</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72,00000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73,32000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73,32000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1,32000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101,83</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100</w:t>
            </w:r>
          </w:p>
        </w:tc>
      </w:tr>
      <w:tr w:rsidR="00356C76">
        <w:trPr>
          <w:trHeight w:val="295"/>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Социальное обеспечение населения</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10</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03</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72,00000</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73,32000</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73,32000</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1,32000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101,83</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100</w:t>
            </w:r>
          </w:p>
        </w:tc>
      </w:tr>
      <w:tr w:rsidR="00356C76">
        <w:trPr>
          <w:trHeight w:val="510"/>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 xml:space="preserve"> Межбюджетные трансферты общего характера бюджетам бюджетной системы Российской Федерации</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14</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00</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411,43527</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32124,39647</w:t>
            </w:r>
          </w:p>
        </w:tc>
        <w:tc>
          <w:tcPr>
            <w:tcW w:w="150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32124,39647</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31712,96120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7807,89</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100</w:t>
            </w:r>
          </w:p>
        </w:tc>
      </w:tr>
      <w:tr w:rsidR="00356C76">
        <w:trPr>
          <w:trHeight w:val="330"/>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rPr>
            </w:pPr>
            <w:r>
              <w:rPr>
                <w:rFonts w:eastAsia="Times New Roman"/>
              </w:rPr>
              <w:t>Прочие межбюджетные трансферты общего характера</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14</w:t>
            </w:r>
          </w:p>
        </w:tc>
        <w:tc>
          <w:tcPr>
            <w:tcW w:w="94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rPr>
            </w:pPr>
            <w:r>
              <w:rPr>
                <w:rFonts w:eastAsia="Times New Roman"/>
              </w:rPr>
              <w:t>03</w:t>
            </w:r>
          </w:p>
        </w:tc>
        <w:tc>
          <w:tcPr>
            <w:tcW w:w="151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411,43527</w:t>
            </w:r>
          </w:p>
        </w:tc>
        <w:tc>
          <w:tcPr>
            <w:tcW w:w="1620"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32124,39647</w:t>
            </w:r>
          </w:p>
        </w:tc>
        <w:tc>
          <w:tcPr>
            <w:tcW w:w="1500" w:type="dxa"/>
            <w:tcBorders>
              <w:top w:val="nil"/>
              <w:left w:val="nil"/>
              <w:bottom w:val="nil"/>
              <w:right w:val="single" w:sz="4" w:space="0" w:color="auto"/>
            </w:tcBorders>
            <w:shd w:val="clear" w:color="auto" w:fill="auto"/>
            <w:noWrap/>
            <w:vAlign w:val="center"/>
          </w:tcPr>
          <w:p w:rsidR="00356C76" w:rsidRDefault="00262BC8">
            <w:pPr>
              <w:spacing w:after="0" w:line="240" w:lineRule="auto"/>
              <w:jc w:val="center"/>
              <w:rPr>
                <w:rFonts w:eastAsia="Times New Roman"/>
              </w:rPr>
            </w:pPr>
            <w:r>
              <w:rPr>
                <w:rFonts w:eastAsia="Times New Roman"/>
              </w:rPr>
              <w:t>32124,39647</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Cs/>
              </w:rPr>
            </w:pPr>
            <w:r>
              <w:rPr>
                <w:rFonts w:eastAsia="Times New Roman"/>
                <w:bCs/>
              </w:rPr>
              <w:t>31712,96120</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954B8A">
            <w:pPr>
              <w:spacing w:after="0" w:line="240" w:lineRule="auto"/>
              <w:jc w:val="center"/>
              <w:rPr>
                <w:rFonts w:eastAsia="Times New Roman"/>
                <w:bCs/>
              </w:rPr>
            </w:pPr>
            <w:r>
              <w:rPr>
                <w:rFonts w:eastAsia="Times New Roman"/>
                <w:bCs/>
              </w:rPr>
              <w:t>7807</w:t>
            </w:r>
            <w:r w:rsidR="00262BC8">
              <w:rPr>
                <w:rFonts w:eastAsia="Times New Roman"/>
                <w:bCs/>
              </w:rPr>
              <w:t>,89</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Cs/>
              </w:rPr>
            </w:pPr>
            <w:r>
              <w:rPr>
                <w:rFonts w:eastAsia="Times New Roman"/>
                <w:bCs/>
              </w:rPr>
              <w:t>0,0</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Cs/>
              </w:rPr>
            </w:pPr>
            <w:r>
              <w:rPr>
                <w:rFonts w:eastAsia="Times New Roman"/>
                <w:bCs/>
              </w:rPr>
              <w:t>100</w:t>
            </w:r>
          </w:p>
        </w:tc>
      </w:tr>
      <w:tr w:rsidR="00356C76">
        <w:trPr>
          <w:trHeight w:val="390"/>
        </w:trPr>
        <w:tc>
          <w:tcPr>
            <w:tcW w:w="3629" w:type="dxa"/>
            <w:tcBorders>
              <w:top w:val="nil"/>
              <w:left w:val="single" w:sz="4" w:space="0" w:color="auto"/>
              <w:bottom w:val="single" w:sz="4" w:space="0" w:color="auto"/>
              <w:right w:val="single" w:sz="4" w:space="0" w:color="auto"/>
            </w:tcBorders>
            <w:shd w:val="clear" w:color="auto" w:fill="auto"/>
            <w:vAlign w:val="center"/>
          </w:tcPr>
          <w:p w:rsidR="00356C76" w:rsidRDefault="00262BC8">
            <w:pPr>
              <w:spacing w:after="0" w:line="240" w:lineRule="auto"/>
              <w:jc w:val="left"/>
              <w:rPr>
                <w:rFonts w:eastAsia="Times New Roman"/>
                <w:b/>
                <w:bCs/>
              </w:rPr>
            </w:pPr>
            <w:r>
              <w:rPr>
                <w:rFonts w:eastAsia="Times New Roman"/>
                <w:b/>
                <w:bCs/>
              </w:rPr>
              <w:t>ИТОГО:</w:t>
            </w:r>
          </w:p>
        </w:tc>
        <w:tc>
          <w:tcPr>
            <w:tcW w:w="945" w:type="dxa"/>
            <w:tcBorders>
              <w:top w:val="nil"/>
              <w:left w:val="nil"/>
              <w:bottom w:val="single" w:sz="4" w:space="0" w:color="auto"/>
              <w:right w:val="single" w:sz="4" w:space="0" w:color="auto"/>
            </w:tcBorders>
            <w:shd w:val="clear" w:color="auto" w:fill="auto"/>
            <w:vAlign w:val="bottom"/>
          </w:tcPr>
          <w:p w:rsidR="00356C76" w:rsidRDefault="00356C76">
            <w:pPr>
              <w:spacing w:after="0" w:line="240" w:lineRule="auto"/>
              <w:jc w:val="center"/>
              <w:rPr>
                <w:rFonts w:eastAsia="Times New Roman"/>
                <w:b/>
                <w:bCs/>
              </w:rPr>
            </w:pPr>
          </w:p>
        </w:tc>
        <w:tc>
          <w:tcPr>
            <w:tcW w:w="945" w:type="dxa"/>
            <w:tcBorders>
              <w:top w:val="nil"/>
              <w:left w:val="nil"/>
              <w:bottom w:val="single" w:sz="4" w:space="0" w:color="auto"/>
              <w:right w:val="single" w:sz="4" w:space="0" w:color="auto"/>
            </w:tcBorders>
            <w:shd w:val="clear" w:color="auto" w:fill="auto"/>
            <w:vAlign w:val="bottom"/>
          </w:tcPr>
          <w:p w:rsidR="00356C76" w:rsidRDefault="00356C76">
            <w:pPr>
              <w:spacing w:after="0" w:line="240" w:lineRule="auto"/>
              <w:jc w:val="center"/>
              <w:rPr>
                <w:rFonts w:eastAsia="Times New Roman"/>
                <w:b/>
                <w:bCs/>
              </w:rPr>
            </w:pP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17898,23</w:t>
            </w:r>
            <w:bookmarkStart w:id="31" w:name="_GoBack"/>
            <w:bookmarkEnd w:id="31"/>
            <w:r>
              <w:rPr>
                <w:rFonts w:eastAsia="Times New Roman"/>
                <w:b/>
                <w:bCs/>
              </w:rPr>
              <w:t>003</w:t>
            </w:r>
          </w:p>
        </w:tc>
        <w:tc>
          <w:tcPr>
            <w:tcW w:w="1620"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141602,64797</w:t>
            </w:r>
          </w:p>
        </w:tc>
        <w:tc>
          <w:tcPr>
            <w:tcW w:w="1500" w:type="dxa"/>
            <w:tcBorders>
              <w:top w:val="single" w:sz="4" w:space="0" w:color="auto"/>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97529,94721</w:t>
            </w:r>
          </w:p>
        </w:tc>
        <w:tc>
          <w:tcPr>
            <w:tcW w:w="151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79631,71718</w:t>
            </w:r>
          </w:p>
        </w:tc>
        <w:tc>
          <w:tcPr>
            <w:tcW w:w="1005"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544,91</w:t>
            </w:r>
          </w:p>
        </w:tc>
        <w:tc>
          <w:tcPr>
            <w:tcW w:w="1575" w:type="dxa"/>
            <w:tcBorders>
              <w:top w:val="nil"/>
              <w:left w:val="nil"/>
              <w:bottom w:val="single" w:sz="4" w:space="0" w:color="auto"/>
              <w:right w:val="single" w:sz="4" w:space="0" w:color="auto"/>
            </w:tcBorders>
            <w:shd w:val="clear" w:color="auto" w:fill="auto"/>
            <w:vAlign w:val="center"/>
          </w:tcPr>
          <w:p w:rsidR="00356C76" w:rsidRDefault="00262BC8">
            <w:pPr>
              <w:spacing w:after="0" w:line="240" w:lineRule="auto"/>
              <w:jc w:val="center"/>
              <w:rPr>
                <w:rFonts w:eastAsia="Times New Roman"/>
                <w:b/>
                <w:bCs/>
              </w:rPr>
            </w:pPr>
            <w:r>
              <w:rPr>
                <w:rFonts w:eastAsia="Times New Roman"/>
                <w:b/>
                <w:bCs/>
              </w:rPr>
              <w:t>-44072,70076</w:t>
            </w:r>
          </w:p>
        </w:tc>
        <w:tc>
          <w:tcPr>
            <w:tcW w:w="914" w:type="dxa"/>
            <w:tcBorders>
              <w:top w:val="nil"/>
              <w:left w:val="nil"/>
              <w:bottom w:val="single" w:sz="4" w:space="0" w:color="auto"/>
              <w:right w:val="single" w:sz="4" w:space="0" w:color="auto"/>
            </w:tcBorders>
            <w:shd w:val="clear" w:color="auto" w:fill="auto"/>
            <w:noWrap/>
            <w:vAlign w:val="center"/>
          </w:tcPr>
          <w:p w:rsidR="00356C76" w:rsidRDefault="00262BC8">
            <w:pPr>
              <w:spacing w:after="0" w:line="240" w:lineRule="auto"/>
              <w:jc w:val="center"/>
              <w:rPr>
                <w:rFonts w:eastAsia="Times New Roman"/>
                <w:b/>
                <w:bCs/>
              </w:rPr>
            </w:pPr>
            <w:r>
              <w:rPr>
                <w:rFonts w:eastAsia="Times New Roman"/>
                <w:b/>
                <w:bCs/>
              </w:rPr>
              <w:t>68,88</w:t>
            </w:r>
          </w:p>
        </w:tc>
      </w:tr>
    </w:tbl>
    <w:p w:rsidR="00356C76" w:rsidRDefault="00356C76"/>
    <w:sectPr w:rsidR="00356C76">
      <w:pgSz w:w="16838" w:h="11906" w:orient="landscape"/>
      <w:pgMar w:top="1134" w:right="744" w:bottom="851"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EEA" w:rsidRDefault="00BE5EEA">
      <w:pPr>
        <w:spacing w:line="240" w:lineRule="auto"/>
      </w:pPr>
      <w:r>
        <w:separator/>
      </w:r>
    </w:p>
  </w:endnote>
  <w:endnote w:type="continuationSeparator" w:id="0">
    <w:p w:rsidR="00BE5EEA" w:rsidRDefault="00BE5E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DCA" w:rsidRDefault="00835DCA">
    <w:pPr>
      <w:pStyle w:val="af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DCA" w:rsidRDefault="00835DCA">
    <w:pPr>
      <w:pStyle w:val="af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DCA" w:rsidRDefault="00835DCA">
    <w:pPr>
      <w:pStyle w:val="af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EEA" w:rsidRDefault="00BE5EEA">
      <w:pPr>
        <w:spacing w:after="0"/>
      </w:pPr>
      <w:r>
        <w:separator/>
      </w:r>
    </w:p>
  </w:footnote>
  <w:footnote w:type="continuationSeparator" w:id="0">
    <w:p w:rsidR="00BE5EEA" w:rsidRDefault="00BE5EE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DCA" w:rsidRDefault="00835DCA">
    <w:pPr>
      <w:pStyle w:val="af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DCA" w:rsidRDefault="00835DCA">
    <w:pPr>
      <w:pStyle w:val="af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DCA" w:rsidRDefault="00835DCA">
    <w:pPr>
      <w:pStyle w:val="af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410BE"/>
    <w:multiLevelType w:val="multilevel"/>
    <w:tmpl w:val="180410BE"/>
    <w:lvl w:ilvl="0">
      <w:start w:val="132"/>
      <w:numFmt w:val="bullet"/>
      <w:lvlText w:val="-"/>
      <w:lvlJc w:val="left"/>
      <w:pPr>
        <w:tabs>
          <w:tab w:val="left" w:pos="1399"/>
        </w:tabs>
        <w:ind w:left="1399" w:hanging="645"/>
      </w:pPr>
      <w:rPr>
        <w:rFonts w:ascii="Times New Roman" w:eastAsia="Times New Roman" w:hAnsi="Times New Roman" w:hint="default"/>
      </w:rPr>
    </w:lvl>
    <w:lvl w:ilvl="1">
      <w:start w:val="1"/>
      <w:numFmt w:val="bullet"/>
      <w:lvlText w:val="o"/>
      <w:lvlJc w:val="left"/>
      <w:pPr>
        <w:tabs>
          <w:tab w:val="left" w:pos="1834"/>
        </w:tabs>
        <w:ind w:left="1834" w:hanging="360"/>
      </w:pPr>
      <w:rPr>
        <w:rFonts w:ascii="Courier New" w:hAnsi="Courier New" w:hint="default"/>
      </w:rPr>
    </w:lvl>
    <w:lvl w:ilvl="2">
      <w:start w:val="1"/>
      <w:numFmt w:val="bullet"/>
      <w:lvlText w:val=""/>
      <w:lvlJc w:val="left"/>
      <w:pPr>
        <w:tabs>
          <w:tab w:val="left" w:pos="2554"/>
        </w:tabs>
        <w:ind w:left="2554" w:hanging="360"/>
      </w:pPr>
      <w:rPr>
        <w:rFonts w:ascii="Wingdings" w:hAnsi="Wingdings" w:hint="default"/>
      </w:rPr>
    </w:lvl>
    <w:lvl w:ilvl="3">
      <w:start w:val="1"/>
      <w:numFmt w:val="bullet"/>
      <w:lvlText w:val=""/>
      <w:lvlJc w:val="left"/>
      <w:pPr>
        <w:tabs>
          <w:tab w:val="left" w:pos="3274"/>
        </w:tabs>
        <w:ind w:left="3274" w:hanging="360"/>
      </w:pPr>
      <w:rPr>
        <w:rFonts w:ascii="Symbol" w:hAnsi="Symbol" w:hint="default"/>
      </w:rPr>
    </w:lvl>
    <w:lvl w:ilvl="4">
      <w:start w:val="1"/>
      <w:numFmt w:val="bullet"/>
      <w:lvlText w:val="o"/>
      <w:lvlJc w:val="left"/>
      <w:pPr>
        <w:tabs>
          <w:tab w:val="left" w:pos="3994"/>
        </w:tabs>
        <w:ind w:left="3994" w:hanging="360"/>
      </w:pPr>
      <w:rPr>
        <w:rFonts w:ascii="Courier New" w:hAnsi="Courier New" w:hint="default"/>
      </w:rPr>
    </w:lvl>
    <w:lvl w:ilvl="5">
      <w:start w:val="1"/>
      <w:numFmt w:val="bullet"/>
      <w:lvlText w:val=""/>
      <w:lvlJc w:val="left"/>
      <w:pPr>
        <w:tabs>
          <w:tab w:val="left" w:pos="4714"/>
        </w:tabs>
        <w:ind w:left="4714" w:hanging="360"/>
      </w:pPr>
      <w:rPr>
        <w:rFonts w:ascii="Wingdings" w:hAnsi="Wingdings" w:hint="default"/>
      </w:rPr>
    </w:lvl>
    <w:lvl w:ilvl="6">
      <w:start w:val="1"/>
      <w:numFmt w:val="bullet"/>
      <w:lvlText w:val=""/>
      <w:lvlJc w:val="left"/>
      <w:pPr>
        <w:tabs>
          <w:tab w:val="left" w:pos="5434"/>
        </w:tabs>
        <w:ind w:left="5434" w:hanging="360"/>
      </w:pPr>
      <w:rPr>
        <w:rFonts w:ascii="Symbol" w:hAnsi="Symbol" w:hint="default"/>
      </w:rPr>
    </w:lvl>
    <w:lvl w:ilvl="7">
      <w:start w:val="1"/>
      <w:numFmt w:val="bullet"/>
      <w:lvlText w:val="o"/>
      <w:lvlJc w:val="left"/>
      <w:pPr>
        <w:tabs>
          <w:tab w:val="left" w:pos="6154"/>
        </w:tabs>
        <w:ind w:left="6154" w:hanging="360"/>
      </w:pPr>
      <w:rPr>
        <w:rFonts w:ascii="Courier New" w:hAnsi="Courier New" w:hint="default"/>
      </w:rPr>
    </w:lvl>
    <w:lvl w:ilvl="8">
      <w:start w:val="1"/>
      <w:numFmt w:val="bullet"/>
      <w:lvlText w:val=""/>
      <w:lvlJc w:val="left"/>
      <w:pPr>
        <w:tabs>
          <w:tab w:val="left" w:pos="6874"/>
        </w:tabs>
        <w:ind w:left="6874" w:hanging="360"/>
      </w:pPr>
      <w:rPr>
        <w:rFonts w:ascii="Wingdings" w:hAnsi="Wingdings" w:hint="default"/>
      </w:rPr>
    </w:lvl>
  </w:abstractNum>
  <w:abstractNum w:abstractNumId="1" w15:restartNumberingAfterBreak="0">
    <w:nsid w:val="268336D9"/>
    <w:multiLevelType w:val="multilevel"/>
    <w:tmpl w:val="26833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636786"/>
    <w:multiLevelType w:val="multilevel"/>
    <w:tmpl w:val="29636786"/>
    <w:lvl w:ilvl="0">
      <w:start w:val="1"/>
      <w:numFmt w:val="decimal"/>
      <w:pStyle w:val="a"/>
      <w:lvlText w:val="%1.   "/>
      <w:lvlJc w:val="left"/>
      <w:pPr>
        <w:tabs>
          <w:tab w:val="left" w:pos="1571"/>
        </w:tabs>
        <w:ind w:firstLine="851"/>
      </w:pPr>
      <w:rPr>
        <w:rFonts w:cs="Times New Roman"/>
      </w:rPr>
    </w:lvl>
    <w:lvl w:ilvl="1">
      <w:start w:val="1"/>
      <w:numFmt w:val="decimal"/>
      <w:lvlText w:val="%1.%2 "/>
      <w:lvlJc w:val="left"/>
      <w:pPr>
        <w:tabs>
          <w:tab w:val="left" w:pos="1684"/>
        </w:tabs>
        <w:ind w:left="57" w:firstLine="907"/>
      </w:pPr>
      <w:rPr>
        <w:rFonts w:cs="Times New Roman"/>
      </w:rPr>
    </w:lvl>
    <w:lvl w:ilvl="2">
      <w:start w:val="1"/>
      <w:numFmt w:val="bullet"/>
      <w:lvlText w:val=""/>
      <w:lvlJc w:val="left"/>
      <w:pPr>
        <w:tabs>
          <w:tab w:val="left" w:pos="1531"/>
        </w:tabs>
        <w:ind w:left="1531" w:hanging="397"/>
      </w:pPr>
      <w:rPr>
        <w:rFonts w:ascii="Symbol" w:hAnsi="Symbol" w:hint="default"/>
      </w:rPr>
    </w:lvl>
    <w:lvl w:ilvl="3">
      <w:start w:val="1"/>
      <w:numFmt w:val="decimal"/>
      <w:lvlText w:val="%1.%2.%3.%4"/>
      <w:lvlJc w:val="left"/>
      <w:pPr>
        <w:tabs>
          <w:tab w:val="left" w:pos="864"/>
        </w:tabs>
        <w:ind w:left="864" w:hanging="864"/>
      </w:pPr>
      <w:rPr>
        <w:rFonts w:cs="Times New Roman"/>
      </w:rPr>
    </w:lvl>
    <w:lvl w:ilvl="4">
      <w:start w:val="1"/>
      <w:numFmt w:val="decimal"/>
      <w:lvlText w:val="%1.%2.%3.%4.%5"/>
      <w:lvlJc w:val="left"/>
      <w:pPr>
        <w:tabs>
          <w:tab w:val="left" w:pos="1008"/>
        </w:tabs>
        <w:ind w:left="1008" w:hanging="1008"/>
      </w:pPr>
      <w:rPr>
        <w:rFonts w:cs="Times New Roman"/>
      </w:rPr>
    </w:lvl>
    <w:lvl w:ilvl="5">
      <w:start w:val="1"/>
      <w:numFmt w:val="decimal"/>
      <w:lvlText w:val="%1.%2.%3.%4.%5.%6"/>
      <w:lvlJc w:val="left"/>
      <w:pPr>
        <w:tabs>
          <w:tab w:val="left" w:pos="1152"/>
        </w:tabs>
        <w:ind w:left="1152" w:hanging="1152"/>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22B"/>
    <w:rsid w:val="000000FC"/>
    <w:rsid w:val="000002AD"/>
    <w:rsid w:val="00000690"/>
    <w:rsid w:val="000027A9"/>
    <w:rsid w:val="0000305E"/>
    <w:rsid w:val="00003AF7"/>
    <w:rsid w:val="00003C86"/>
    <w:rsid w:val="00004A0D"/>
    <w:rsid w:val="00005B0B"/>
    <w:rsid w:val="000060F2"/>
    <w:rsid w:val="00007597"/>
    <w:rsid w:val="00007838"/>
    <w:rsid w:val="000114FD"/>
    <w:rsid w:val="000120B3"/>
    <w:rsid w:val="00013A6F"/>
    <w:rsid w:val="00015711"/>
    <w:rsid w:val="00016A75"/>
    <w:rsid w:val="00017FD2"/>
    <w:rsid w:val="00020360"/>
    <w:rsid w:val="000220B3"/>
    <w:rsid w:val="00022414"/>
    <w:rsid w:val="0002293D"/>
    <w:rsid w:val="00022BB0"/>
    <w:rsid w:val="00023182"/>
    <w:rsid w:val="000239B0"/>
    <w:rsid w:val="00023C06"/>
    <w:rsid w:val="000249FD"/>
    <w:rsid w:val="00027B9D"/>
    <w:rsid w:val="00030B7B"/>
    <w:rsid w:val="00031CC8"/>
    <w:rsid w:val="00031E1E"/>
    <w:rsid w:val="00032232"/>
    <w:rsid w:val="00033EEB"/>
    <w:rsid w:val="000346CF"/>
    <w:rsid w:val="0003627A"/>
    <w:rsid w:val="00036EFD"/>
    <w:rsid w:val="00037551"/>
    <w:rsid w:val="00037FD4"/>
    <w:rsid w:val="00037FFE"/>
    <w:rsid w:val="000400DA"/>
    <w:rsid w:val="00040656"/>
    <w:rsid w:val="00040EAD"/>
    <w:rsid w:val="000412B3"/>
    <w:rsid w:val="0004168A"/>
    <w:rsid w:val="00041B18"/>
    <w:rsid w:val="000439D1"/>
    <w:rsid w:val="00043BF7"/>
    <w:rsid w:val="00043D7D"/>
    <w:rsid w:val="00043E35"/>
    <w:rsid w:val="00051491"/>
    <w:rsid w:val="00051E8E"/>
    <w:rsid w:val="00053363"/>
    <w:rsid w:val="00057650"/>
    <w:rsid w:val="0005796D"/>
    <w:rsid w:val="00061A5B"/>
    <w:rsid w:val="00062DF0"/>
    <w:rsid w:val="00063175"/>
    <w:rsid w:val="00063B09"/>
    <w:rsid w:val="00064D26"/>
    <w:rsid w:val="00065CD6"/>
    <w:rsid w:val="00066464"/>
    <w:rsid w:val="00067393"/>
    <w:rsid w:val="00070A50"/>
    <w:rsid w:val="00072490"/>
    <w:rsid w:val="000724F9"/>
    <w:rsid w:val="0007503D"/>
    <w:rsid w:val="00075990"/>
    <w:rsid w:val="00075EDE"/>
    <w:rsid w:val="0008090E"/>
    <w:rsid w:val="00080A35"/>
    <w:rsid w:val="00081652"/>
    <w:rsid w:val="000816A3"/>
    <w:rsid w:val="0008178E"/>
    <w:rsid w:val="0008276B"/>
    <w:rsid w:val="000829D9"/>
    <w:rsid w:val="00083767"/>
    <w:rsid w:val="00083916"/>
    <w:rsid w:val="00084644"/>
    <w:rsid w:val="00084D98"/>
    <w:rsid w:val="000860FA"/>
    <w:rsid w:val="00087088"/>
    <w:rsid w:val="00090006"/>
    <w:rsid w:val="00090413"/>
    <w:rsid w:val="0009141D"/>
    <w:rsid w:val="0009290F"/>
    <w:rsid w:val="00092BF3"/>
    <w:rsid w:val="00093133"/>
    <w:rsid w:val="00094974"/>
    <w:rsid w:val="00094A25"/>
    <w:rsid w:val="00095213"/>
    <w:rsid w:val="00095ACA"/>
    <w:rsid w:val="000965D3"/>
    <w:rsid w:val="0009715C"/>
    <w:rsid w:val="00097714"/>
    <w:rsid w:val="000A03B2"/>
    <w:rsid w:val="000A244D"/>
    <w:rsid w:val="000A3532"/>
    <w:rsid w:val="000A3B6C"/>
    <w:rsid w:val="000A4F5C"/>
    <w:rsid w:val="000A566D"/>
    <w:rsid w:val="000A6854"/>
    <w:rsid w:val="000A6FD6"/>
    <w:rsid w:val="000A7281"/>
    <w:rsid w:val="000B25B0"/>
    <w:rsid w:val="000B41CD"/>
    <w:rsid w:val="000B5D9D"/>
    <w:rsid w:val="000B61D5"/>
    <w:rsid w:val="000B63F9"/>
    <w:rsid w:val="000B746F"/>
    <w:rsid w:val="000B77F0"/>
    <w:rsid w:val="000B7BD6"/>
    <w:rsid w:val="000C2146"/>
    <w:rsid w:val="000C3C96"/>
    <w:rsid w:val="000C47EA"/>
    <w:rsid w:val="000C515B"/>
    <w:rsid w:val="000C58BF"/>
    <w:rsid w:val="000C5B45"/>
    <w:rsid w:val="000C6BE7"/>
    <w:rsid w:val="000D0B1D"/>
    <w:rsid w:val="000D1A9B"/>
    <w:rsid w:val="000D308C"/>
    <w:rsid w:val="000D3B8E"/>
    <w:rsid w:val="000D402C"/>
    <w:rsid w:val="000D460B"/>
    <w:rsid w:val="000D71AF"/>
    <w:rsid w:val="000D7A23"/>
    <w:rsid w:val="000D7ADA"/>
    <w:rsid w:val="000E0631"/>
    <w:rsid w:val="000E4035"/>
    <w:rsid w:val="000E41C9"/>
    <w:rsid w:val="000E4E24"/>
    <w:rsid w:val="000E60D3"/>
    <w:rsid w:val="000F072E"/>
    <w:rsid w:val="000F0A36"/>
    <w:rsid w:val="000F33AB"/>
    <w:rsid w:val="000F3477"/>
    <w:rsid w:val="000F4C8A"/>
    <w:rsid w:val="000F7B96"/>
    <w:rsid w:val="00102E12"/>
    <w:rsid w:val="001033F5"/>
    <w:rsid w:val="001046F6"/>
    <w:rsid w:val="00105D72"/>
    <w:rsid w:val="00106760"/>
    <w:rsid w:val="00106DEB"/>
    <w:rsid w:val="0010737A"/>
    <w:rsid w:val="00110858"/>
    <w:rsid w:val="00111250"/>
    <w:rsid w:val="0011129A"/>
    <w:rsid w:val="0011135F"/>
    <w:rsid w:val="001114AB"/>
    <w:rsid w:val="00112343"/>
    <w:rsid w:val="001141CE"/>
    <w:rsid w:val="001142EE"/>
    <w:rsid w:val="001145C1"/>
    <w:rsid w:val="0011653B"/>
    <w:rsid w:val="00117E22"/>
    <w:rsid w:val="0012149C"/>
    <w:rsid w:val="00121A23"/>
    <w:rsid w:val="001222F1"/>
    <w:rsid w:val="00123417"/>
    <w:rsid w:val="001234CC"/>
    <w:rsid w:val="00123B2A"/>
    <w:rsid w:val="00125167"/>
    <w:rsid w:val="00125689"/>
    <w:rsid w:val="001259EE"/>
    <w:rsid w:val="001307E9"/>
    <w:rsid w:val="00130997"/>
    <w:rsid w:val="001313BE"/>
    <w:rsid w:val="00131710"/>
    <w:rsid w:val="00132E86"/>
    <w:rsid w:val="00134258"/>
    <w:rsid w:val="00135344"/>
    <w:rsid w:val="00135814"/>
    <w:rsid w:val="00136F21"/>
    <w:rsid w:val="00137CB0"/>
    <w:rsid w:val="001406CA"/>
    <w:rsid w:val="00140EA2"/>
    <w:rsid w:val="001416AD"/>
    <w:rsid w:val="00141AD2"/>
    <w:rsid w:val="00141D48"/>
    <w:rsid w:val="00143AF7"/>
    <w:rsid w:val="001449BA"/>
    <w:rsid w:val="00146E9A"/>
    <w:rsid w:val="001473F9"/>
    <w:rsid w:val="00147949"/>
    <w:rsid w:val="0015020F"/>
    <w:rsid w:val="00152234"/>
    <w:rsid w:val="00152EBE"/>
    <w:rsid w:val="0015391E"/>
    <w:rsid w:val="00154B37"/>
    <w:rsid w:val="00154BF1"/>
    <w:rsid w:val="00154E04"/>
    <w:rsid w:val="00156DF0"/>
    <w:rsid w:val="00157862"/>
    <w:rsid w:val="00157889"/>
    <w:rsid w:val="00157B4C"/>
    <w:rsid w:val="00157E92"/>
    <w:rsid w:val="0016129A"/>
    <w:rsid w:val="0016292D"/>
    <w:rsid w:val="00163661"/>
    <w:rsid w:val="00163B2F"/>
    <w:rsid w:val="0016445D"/>
    <w:rsid w:val="001661BD"/>
    <w:rsid w:val="00166736"/>
    <w:rsid w:val="001712F2"/>
    <w:rsid w:val="0017130D"/>
    <w:rsid w:val="00172E9B"/>
    <w:rsid w:val="001734E4"/>
    <w:rsid w:val="00173814"/>
    <w:rsid w:val="00174537"/>
    <w:rsid w:val="00174FB6"/>
    <w:rsid w:val="00180239"/>
    <w:rsid w:val="00180FB2"/>
    <w:rsid w:val="00182627"/>
    <w:rsid w:val="00182B12"/>
    <w:rsid w:val="001835FE"/>
    <w:rsid w:val="00185CE6"/>
    <w:rsid w:val="00187034"/>
    <w:rsid w:val="00187662"/>
    <w:rsid w:val="00187D7A"/>
    <w:rsid w:val="001907CA"/>
    <w:rsid w:val="00195A87"/>
    <w:rsid w:val="00195C1B"/>
    <w:rsid w:val="00197160"/>
    <w:rsid w:val="001972BF"/>
    <w:rsid w:val="00197B41"/>
    <w:rsid w:val="001A1BC8"/>
    <w:rsid w:val="001B00BA"/>
    <w:rsid w:val="001B02DA"/>
    <w:rsid w:val="001B0B9F"/>
    <w:rsid w:val="001B3669"/>
    <w:rsid w:val="001B3A8A"/>
    <w:rsid w:val="001B6BD2"/>
    <w:rsid w:val="001C2E86"/>
    <w:rsid w:val="001C3292"/>
    <w:rsid w:val="001C36DE"/>
    <w:rsid w:val="001C3DB0"/>
    <w:rsid w:val="001C5167"/>
    <w:rsid w:val="001C56A5"/>
    <w:rsid w:val="001C6E95"/>
    <w:rsid w:val="001C6FD1"/>
    <w:rsid w:val="001C7421"/>
    <w:rsid w:val="001D0D60"/>
    <w:rsid w:val="001D1196"/>
    <w:rsid w:val="001D2E29"/>
    <w:rsid w:val="001D2F92"/>
    <w:rsid w:val="001D3B95"/>
    <w:rsid w:val="001D5E9E"/>
    <w:rsid w:val="001D6949"/>
    <w:rsid w:val="001E0131"/>
    <w:rsid w:val="001E3BFD"/>
    <w:rsid w:val="001E4100"/>
    <w:rsid w:val="001E5837"/>
    <w:rsid w:val="001E645C"/>
    <w:rsid w:val="001E66EB"/>
    <w:rsid w:val="001F0538"/>
    <w:rsid w:val="001F16E0"/>
    <w:rsid w:val="001F357B"/>
    <w:rsid w:val="001F406D"/>
    <w:rsid w:val="001F60F5"/>
    <w:rsid w:val="001F774F"/>
    <w:rsid w:val="00200101"/>
    <w:rsid w:val="00201F76"/>
    <w:rsid w:val="00202218"/>
    <w:rsid w:val="002044EE"/>
    <w:rsid w:val="00205503"/>
    <w:rsid w:val="00205873"/>
    <w:rsid w:val="00205946"/>
    <w:rsid w:val="00206245"/>
    <w:rsid w:val="0020670E"/>
    <w:rsid w:val="002072EE"/>
    <w:rsid w:val="0021177E"/>
    <w:rsid w:val="00215838"/>
    <w:rsid w:val="0021633F"/>
    <w:rsid w:val="00220890"/>
    <w:rsid w:val="00222136"/>
    <w:rsid w:val="002224E4"/>
    <w:rsid w:val="00223600"/>
    <w:rsid w:val="00223C8C"/>
    <w:rsid w:val="00225E29"/>
    <w:rsid w:val="00225E49"/>
    <w:rsid w:val="00226935"/>
    <w:rsid w:val="00226EB6"/>
    <w:rsid w:val="00227331"/>
    <w:rsid w:val="002278AD"/>
    <w:rsid w:val="0023071A"/>
    <w:rsid w:val="00230D09"/>
    <w:rsid w:val="00233FF4"/>
    <w:rsid w:val="0023481B"/>
    <w:rsid w:val="00235B66"/>
    <w:rsid w:val="002362AD"/>
    <w:rsid w:val="00236E3F"/>
    <w:rsid w:val="00237957"/>
    <w:rsid w:val="002379F1"/>
    <w:rsid w:val="0024166C"/>
    <w:rsid w:val="00242075"/>
    <w:rsid w:val="00242F29"/>
    <w:rsid w:val="002435F8"/>
    <w:rsid w:val="002449F3"/>
    <w:rsid w:val="00244B6E"/>
    <w:rsid w:val="0025435E"/>
    <w:rsid w:val="00255852"/>
    <w:rsid w:val="0025615A"/>
    <w:rsid w:val="0025639A"/>
    <w:rsid w:val="00257942"/>
    <w:rsid w:val="002579EE"/>
    <w:rsid w:val="00261227"/>
    <w:rsid w:val="00262250"/>
    <w:rsid w:val="00262BC8"/>
    <w:rsid w:val="0026386F"/>
    <w:rsid w:val="00264FBA"/>
    <w:rsid w:val="00266323"/>
    <w:rsid w:val="002666A5"/>
    <w:rsid w:val="00266EBE"/>
    <w:rsid w:val="00267674"/>
    <w:rsid w:val="0027025F"/>
    <w:rsid w:val="002703C5"/>
    <w:rsid w:val="002720EE"/>
    <w:rsid w:val="00273B95"/>
    <w:rsid w:val="00275340"/>
    <w:rsid w:val="0027788C"/>
    <w:rsid w:val="0027795F"/>
    <w:rsid w:val="00277A45"/>
    <w:rsid w:val="00280191"/>
    <w:rsid w:val="002801E6"/>
    <w:rsid w:val="00281D80"/>
    <w:rsid w:val="00283069"/>
    <w:rsid w:val="00284705"/>
    <w:rsid w:val="00285D0E"/>
    <w:rsid w:val="00286C4E"/>
    <w:rsid w:val="00286FF9"/>
    <w:rsid w:val="0029033E"/>
    <w:rsid w:val="002905F7"/>
    <w:rsid w:val="002921A0"/>
    <w:rsid w:val="00292242"/>
    <w:rsid w:val="002936A3"/>
    <w:rsid w:val="00294412"/>
    <w:rsid w:val="0029448F"/>
    <w:rsid w:val="00294F38"/>
    <w:rsid w:val="0029552E"/>
    <w:rsid w:val="002956C5"/>
    <w:rsid w:val="0029648A"/>
    <w:rsid w:val="00296D8C"/>
    <w:rsid w:val="002972C1"/>
    <w:rsid w:val="002973A5"/>
    <w:rsid w:val="002977E9"/>
    <w:rsid w:val="002A09FA"/>
    <w:rsid w:val="002A172E"/>
    <w:rsid w:val="002A17C0"/>
    <w:rsid w:val="002A1856"/>
    <w:rsid w:val="002A39EF"/>
    <w:rsid w:val="002A435A"/>
    <w:rsid w:val="002A58A7"/>
    <w:rsid w:val="002A6C06"/>
    <w:rsid w:val="002A7853"/>
    <w:rsid w:val="002B3698"/>
    <w:rsid w:val="002B4494"/>
    <w:rsid w:val="002B64C1"/>
    <w:rsid w:val="002C15FB"/>
    <w:rsid w:val="002C2173"/>
    <w:rsid w:val="002C220B"/>
    <w:rsid w:val="002C229C"/>
    <w:rsid w:val="002C273D"/>
    <w:rsid w:val="002C2A45"/>
    <w:rsid w:val="002C2B75"/>
    <w:rsid w:val="002C344F"/>
    <w:rsid w:val="002C3530"/>
    <w:rsid w:val="002C36B0"/>
    <w:rsid w:val="002C6073"/>
    <w:rsid w:val="002C7A4E"/>
    <w:rsid w:val="002D1485"/>
    <w:rsid w:val="002D589E"/>
    <w:rsid w:val="002D5DF0"/>
    <w:rsid w:val="002D64F0"/>
    <w:rsid w:val="002D7BB6"/>
    <w:rsid w:val="002E1063"/>
    <w:rsid w:val="002E1816"/>
    <w:rsid w:val="002E2E6B"/>
    <w:rsid w:val="002E4EEC"/>
    <w:rsid w:val="002E72A1"/>
    <w:rsid w:val="002E7503"/>
    <w:rsid w:val="002E7D00"/>
    <w:rsid w:val="002F01CA"/>
    <w:rsid w:val="002F1B09"/>
    <w:rsid w:val="002F1DB0"/>
    <w:rsid w:val="002F2397"/>
    <w:rsid w:val="002F2A4D"/>
    <w:rsid w:val="002F5301"/>
    <w:rsid w:val="002F7D57"/>
    <w:rsid w:val="003005CB"/>
    <w:rsid w:val="00300A1A"/>
    <w:rsid w:val="00300BCF"/>
    <w:rsid w:val="0030104A"/>
    <w:rsid w:val="00301829"/>
    <w:rsid w:val="00302B57"/>
    <w:rsid w:val="0030352B"/>
    <w:rsid w:val="00303878"/>
    <w:rsid w:val="00303999"/>
    <w:rsid w:val="00303B3A"/>
    <w:rsid w:val="0030462F"/>
    <w:rsid w:val="003046C9"/>
    <w:rsid w:val="00305247"/>
    <w:rsid w:val="00306718"/>
    <w:rsid w:val="003073A5"/>
    <w:rsid w:val="003103E4"/>
    <w:rsid w:val="003104BA"/>
    <w:rsid w:val="00310A50"/>
    <w:rsid w:val="00311840"/>
    <w:rsid w:val="00315D0E"/>
    <w:rsid w:val="003201C8"/>
    <w:rsid w:val="00320D06"/>
    <w:rsid w:val="00322319"/>
    <w:rsid w:val="00322F9C"/>
    <w:rsid w:val="00323062"/>
    <w:rsid w:val="00323F2F"/>
    <w:rsid w:val="00324227"/>
    <w:rsid w:val="00324654"/>
    <w:rsid w:val="00325B5A"/>
    <w:rsid w:val="00325B5D"/>
    <w:rsid w:val="003262AB"/>
    <w:rsid w:val="003278CE"/>
    <w:rsid w:val="003326FB"/>
    <w:rsid w:val="0033379E"/>
    <w:rsid w:val="003341D5"/>
    <w:rsid w:val="00334C36"/>
    <w:rsid w:val="00334CEE"/>
    <w:rsid w:val="00336B11"/>
    <w:rsid w:val="00336CF0"/>
    <w:rsid w:val="0033767F"/>
    <w:rsid w:val="00340E6E"/>
    <w:rsid w:val="00341809"/>
    <w:rsid w:val="00341AC1"/>
    <w:rsid w:val="003425F9"/>
    <w:rsid w:val="00342691"/>
    <w:rsid w:val="00342A40"/>
    <w:rsid w:val="0034341A"/>
    <w:rsid w:val="00343723"/>
    <w:rsid w:val="00343C3D"/>
    <w:rsid w:val="00345669"/>
    <w:rsid w:val="00350BB4"/>
    <w:rsid w:val="00350FB0"/>
    <w:rsid w:val="00352684"/>
    <w:rsid w:val="00352D13"/>
    <w:rsid w:val="00354018"/>
    <w:rsid w:val="00355968"/>
    <w:rsid w:val="00356C76"/>
    <w:rsid w:val="003600F5"/>
    <w:rsid w:val="003606F6"/>
    <w:rsid w:val="00360980"/>
    <w:rsid w:val="00360CF8"/>
    <w:rsid w:val="00360DAE"/>
    <w:rsid w:val="00364A7C"/>
    <w:rsid w:val="003652ED"/>
    <w:rsid w:val="00365615"/>
    <w:rsid w:val="003656AF"/>
    <w:rsid w:val="00367BF8"/>
    <w:rsid w:val="00367DFB"/>
    <w:rsid w:val="00370791"/>
    <w:rsid w:val="00370F36"/>
    <w:rsid w:val="0037155E"/>
    <w:rsid w:val="003715B1"/>
    <w:rsid w:val="00371B75"/>
    <w:rsid w:val="00371F31"/>
    <w:rsid w:val="0037207E"/>
    <w:rsid w:val="00372BC6"/>
    <w:rsid w:val="003757D6"/>
    <w:rsid w:val="00376DB9"/>
    <w:rsid w:val="00377E62"/>
    <w:rsid w:val="003804FB"/>
    <w:rsid w:val="003826F7"/>
    <w:rsid w:val="00383CD7"/>
    <w:rsid w:val="00384035"/>
    <w:rsid w:val="003844EE"/>
    <w:rsid w:val="0038461D"/>
    <w:rsid w:val="00384FF7"/>
    <w:rsid w:val="00385959"/>
    <w:rsid w:val="00386521"/>
    <w:rsid w:val="0038724E"/>
    <w:rsid w:val="00390BBF"/>
    <w:rsid w:val="003922C5"/>
    <w:rsid w:val="003963DB"/>
    <w:rsid w:val="0039676F"/>
    <w:rsid w:val="00396DA9"/>
    <w:rsid w:val="00397F91"/>
    <w:rsid w:val="003A2A6D"/>
    <w:rsid w:val="003A44E8"/>
    <w:rsid w:val="003A4E35"/>
    <w:rsid w:val="003A4F57"/>
    <w:rsid w:val="003A550C"/>
    <w:rsid w:val="003A5748"/>
    <w:rsid w:val="003A5C93"/>
    <w:rsid w:val="003A6382"/>
    <w:rsid w:val="003A7566"/>
    <w:rsid w:val="003A7E12"/>
    <w:rsid w:val="003B104F"/>
    <w:rsid w:val="003B234D"/>
    <w:rsid w:val="003B571E"/>
    <w:rsid w:val="003B6AEF"/>
    <w:rsid w:val="003B7D1E"/>
    <w:rsid w:val="003C0808"/>
    <w:rsid w:val="003C1982"/>
    <w:rsid w:val="003C3A1F"/>
    <w:rsid w:val="003C516E"/>
    <w:rsid w:val="003C69DE"/>
    <w:rsid w:val="003C71B3"/>
    <w:rsid w:val="003C7E50"/>
    <w:rsid w:val="003C7E78"/>
    <w:rsid w:val="003D0CB2"/>
    <w:rsid w:val="003D1265"/>
    <w:rsid w:val="003D5035"/>
    <w:rsid w:val="003D51B2"/>
    <w:rsid w:val="003D5646"/>
    <w:rsid w:val="003D72FB"/>
    <w:rsid w:val="003D73A3"/>
    <w:rsid w:val="003D7E6A"/>
    <w:rsid w:val="003E0C26"/>
    <w:rsid w:val="003E1372"/>
    <w:rsid w:val="003E4722"/>
    <w:rsid w:val="003E4951"/>
    <w:rsid w:val="003E4DC7"/>
    <w:rsid w:val="003E573F"/>
    <w:rsid w:val="003F034B"/>
    <w:rsid w:val="003F069F"/>
    <w:rsid w:val="003F3087"/>
    <w:rsid w:val="003F3290"/>
    <w:rsid w:val="003F6408"/>
    <w:rsid w:val="003F66A2"/>
    <w:rsid w:val="003F6761"/>
    <w:rsid w:val="004002A9"/>
    <w:rsid w:val="00401B07"/>
    <w:rsid w:val="00401EDD"/>
    <w:rsid w:val="0040437E"/>
    <w:rsid w:val="004062E1"/>
    <w:rsid w:val="004103AB"/>
    <w:rsid w:val="0041121B"/>
    <w:rsid w:val="00412638"/>
    <w:rsid w:val="00412838"/>
    <w:rsid w:val="00414AC3"/>
    <w:rsid w:val="004211F6"/>
    <w:rsid w:val="00423016"/>
    <w:rsid w:val="00423D9C"/>
    <w:rsid w:val="004241DB"/>
    <w:rsid w:val="00424E7A"/>
    <w:rsid w:val="004251A5"/>
    <w:rsid w:val="0042778F"/>
    <w:rsid w:val="00432601"/>
    <w:rsid w:val="00432C80"/>
    <w:rsid w:val="004338D6"/>
    <w:rsid w:val="00434995"/>
    <w:rsid w:val="00435896"/>
    <w:rsid w:val="00435A7C"/>
    <w:rsid w:val="00435CA0"/>
    <w:rsid w:val="00436AF6"/>
    <w:rsid w:val="0043790B"/>
    <w:rsid w:val="00437CD6"/>
    <w:rsid w:val="00440672"/>
    <w:rsid w:val="004410C3"/>
    <w:rsid w:val="00441679"/>
    <w:rsid w:val="00441E2F"/>
    <w:rsid w:val="004421DE"/>
    <w:rsid w:val="00444624"/>
    <w:rsid w:val="004452CF"/>
    <w:rsid w:val="00447048"/>
    <w:rsid w:val="00447A8F"/>
    <w:rsid w:val="00447C57"/>
    <w:rsid w:val="00447CC9"/>
    <w:rsid w:val="00450178"/>
    <w:rsid w:val="0045077D"/>
    <w:rsid w:val="00451344"/>
    <w:rsid w:val="004519C2"/>
    <w:rsid w:val="00453132"/>
    <w:rsid w:val="004546E6"/>
    <w:rsid w:val="0045491D"/>
    <w:rsid w:val="00455638"/>
    <w:rsid w:val="004556C1"/>
    <w:rsid w:val="004558A8"/>
    <w:rsid w:val="004571F8"/>
    <w:rsid w:val="00460569"/>
    <w:rsid w:val="00461750"/>
    <w:rsid w:val="00462AC9"/>
    <w:rsid w:val="00463369"/>
    <w:rsid w:val="004643CE"/>
    <w:rsid w:val="004644FB"/>
    <w:rsid w:val="0046455F"/>
    <w:rsid w:val="00465033"/>
    <w:rsid w:val="004659BD"/>
    <w:rsid w:val="00470B8F"/>
    <w:rsid w:val="0047165B"/>
    <w:rsid w:val="00472026"/>
    <w:rsid w:val="00472AB1"/>
    <w:rsid w:val="00472AC4"/>
    <w:rsid w:val="004737D0"/>
    <w:rsid w:val="00476935"/>
    <w:rsid w:val="00477990"/>
    <w:rsid w:val="00480437"/>
    <w:rsid w:val="004808B9"/>
    <w:rsid w:val="00480DBD"/>
    <w:rsid w:val="004819EC"/>
    <w:rsid w:val="00483BC5"/>
    <w:rsid w:val="004860E9"/>
    <w:rsid w:val="004861D7"/>
    <w:rsid w:val="00487123"/>
    <w:rsid w:val="00490E21"/>
    <w:rsid w:val="0049103A"/>
    <w:rsid w:val="00492E8D"/>
    <w:rsid w:val="00494C67"/>
    <w:rsid w:val="00494CE7"/>
    <w:rsid w:val="00497456"/>
    <w:rsid w:val="004A0DD1"/>
    <w:rsid w:val="004A1402"/>
    <w:rsid w:val="004A1C00"/>
    <w:rsid w:val="004A3BD4"/>
    <w:rsid w:val="004A5B8F"/>
    <w:rsid w:val="004A5B9E"/>
    <w:rsid w:val="004A6D8C"/>
    <w:rsid w:val="004A6F2E"/>
    <w:rsid w:val="004A7F28"/>
    <w:rsid w:val="004B0AC3"/>
    <w:rsid w:val="004B0E75"/>
    <w:rsid w:val="004B1056"/>
    <w:rsid w:val="004B1A13"/>
    <w:rsid w:val="004B26EA"/>
    <w:rsid w:val="004B5FD9"/>
    <w:rsid w:val="004B608E"/>
    <w:rsid w:val="004B62A9"/>
    <w:rsid w:val="004B762F"/>
    <w:rsid w:val="004C35FB"/>
    <w:rsid w:val="004C45B8"/>
    <w:rsid w:val="004C4DA6"/>
    <w:rsid w:val="004C4FEF"/>
    <w:rsid w:val="004C5157"/>
    <w:rsid w:val="004C5758"/>
    <w:rsid w:val="004C6BA5"/>
    <w:rsid w:val="004C6F0E"/>
    <w:rsid w:val="004C75BE"/>
    <w:rsid w:val="004C7EB5"/>
    <w:rsid w:val="004D0BFE"/>
    <w:rsid w:val="004D0C73"/>
    <w:rsid w:val="004D1394"/>
    <w:rsid w:val="004D246F"/>
    <w:rsid w:val="004D3E22"/>
    <w:rsid w:val="004D4C17"/>
    <w:rsid w:val="004D6E62"/>
    <w:rsid w:val="004E05D6"/>
    <w:rsid w:val="004E1095"/>
    <w:rsid w:val="004E36AE"/>
    <w:rsid w:val="004E62E3"/>
    <w:rsid w:val="004E67CC"/>
    <w:rsid w:val="004E69E1"/>
    <w:rsid w:val="004F01BC"/>
    <w:rsid w:val="004F0548"/>
    <w:rsid w:val="004F36BC"/>
    <w:rsid w:val="004F4C3A"/>
    <w:rsid w:val="004F54C1"/>
    <w:rsid w:val="004F667C"/>
    <w:rsid w:val="004F6A1D"/>
    <w:rsid w:val="004F72CC"/>
    <w:rsid w:val="005009E6"/>
    <w:rsid w:val="0050106F"/>
    <w:rsid w:val="005013F6"/>
    <w:rsid w:val="00502B69"/>
    <w:rsid w:val="0050377B"/>
    <w:rsid w:val="00503BB1"/>
    <w:rsid w:val="00503EB2"/>
    <w:rsid w:val="00504E45"/>
    <w:rsid w:val="00506D35"/>
    <w:rsid w:val="005073F5"/>
    <w:rsid w:val="00510758"/>
    <w:rsid w:val="00511C89"/>
    <w:rsid w:val="00512B73"/>
    <w:rsid w:val="005140AC"/>
    <w:rsid w:val="0051674C"/>
    <w:rsid w:val="005175B5"/>
    <w:rsid w:val="00520461"/>
    <w:rsid w:val="00520E9E"/>
    <w:rsid w:val="00521343"/>
    <w:rsid w:val="005214CC"/>
    <w:rsid w:val="00522427"/>
    <w:rsid w:val="005228E1"/>
    <w:rsid w:val="00522EB9"/>
    <w:rsid w:val="00523364"/>
    <w:rsid w:val="00524854"/>
    <w:rsid w:val="005255CE"/>
    <w:rsid w:val="00530F68"/>
    <w:rsid w:val="00531058"/>
    <w:rsid w:val="00531E1A"/>
    <w:rsid w:val="00533809"/>
    <w:rsid w:val="005339FF"/>
    <w:rsid w:val="0053479C"/>
    <w:rsid w:val="00535555"/>
    <w:rsid w:val="00535BC4"/>
    <w:rsid w:val="005364F9"/>
    <w:rsid w:val="00537BB7"/>
    <w:rsid w:val="00541CF8"/>
    <w:rsid w:val="00541E5D"/>
    <w:rsid w:val="005421BE"/>
    <w:rsid w:val="005431CD"/>
    <w:rsid w:val="00543AC4"/>
    <w:rsid w:val="00545370"/>
    <w:rsid w:val="005455AA"/>
    <w:rsid w:val="005458F7"/>
    <w:rsid w:val="005461C8"/>
    <w:rsid w:val="005461FC"/>
    <w:rsid w:val="00550C4A"/>
    <w:rsid w:val="00551E5C"/>
    <w:rsid w:val="00555562"/>
    <w:rsid w:val="00555807"/>
    <w:rsid w:val="00555BA6"/>
    <w:rsid w:val="00555C26"/>
    <w:rsid w:val="005561C7"/>
    <w:rsid w:val="0055657B"/>
    <w:rsid w:val="00561758"/>
    <w:rsid w:val="00562959"/>
    <w:rsid w:val="00563558"/>
    <w:rsid w:val="00564E80"/>
    <w:rsid w:val="00565FD2"/>
    <w:rsid w:val="00566D35"/>
    <w:rsid w:val="00570546"/>
    <w:rsid w:val="00571289"/>
    <w:rsid w:val="0057129E"/>
    <w:rsid w:val="00571523"/>
    <w:rsid w:val="005729F6"/>
    <w:rsid w:val="00572ABB"/>
    <w:rsid w:val="00572E84"/>
    <w:rsid w:val="00574D7C"/>
    <w:rsid w:val="00576316"/>
    <w:rsid w:val="00576954"/>
    <w:rsid w:val="005774C3"/>
    <w:rsid w:val="00580F3A"/>
    <w:rsid w:val="00584A21"/>
    <w:rsid w:val="00584C55"/>
    <w:rsid w:val="00585A86"/>
    <w:rsid w:val="00586229"/>
    <w:rsid w:val="00587027"/>
    <w:rsid w:val="00587ECE"/>
    <w:rsid w:val="00590484"/>
    <w:rsid w:val="00592FD6"/>
    <w:rsid w:val="00593A6D"/>
    <w:rsid w:val="005940C4"/>
    <w:rsid w:val="00594574"/>
    <w:rsid w:val="00594B32"/>
    <w:rsid w:val="00595415"/>
    <w:rsid w:val="00595AF1"/>
    <w:rsid w:val="00596DBD"/>
    <w:rsid w:val="00597B37"/>
    <w:rsid w:val="005A1A7D"/>
    <w:rsid w:val="005A1F36"/>
    <w:rsid w:val="005A2803"/>
    <w:rsid w:val="005A3489"/>
    <w:rsid w:val="005A6CFD"/>
    <w:rsid w:val="005A75F7"/>
    <w:rsid w:val="005B170A"/>
    <w:rsid w:val="005B2943"/>
    <w:rsid w:val="005B54C8"/>
    <w:rsid w:val="005B5C02"/>
    <w:rsid w:val="005B64F3"/>
    <w:rsid w:val="005B7028"/>
    <w:rsid w:val="005C0EC0"/>
    <w:rsid w:val="005C4E97"/>
    <w:rsid w:val="005C582E"/>
    <w:rsid w:val="005C697E"/>
    <w:rsid w:val="005C71FA"/>
    <w:rsid w:val="005D1CA9"/>
    <w:rsid w:val="005D310F"/>
    <w:rsid w:val="005D35D4"/>
    <w:rsid w:val="005D51AB"/>
    <w:rsid w:val="005D636D"/>
    <w:rsid w:val="005D6C4A"/>
    <w:rsid w:val="005D72F7"/>
    <w:rsid w:val="005D7434"/>
    <w:rsid w:val="005D7B24"/>
    <w:rsid w:val="005E067A"/>
    <w:rsid w:val="005E2A73"/>
    <w:rsid w:val="005E33E5"/>
    <w:rsid w:val="005E583E"/>
    <w:rsid w:val="005E6B92"/>
    <w:rsid w:val="005E72F3"/>
    <w:rsid w:val="005E79F9"/>
    <w:rsid w:val="005F0D0B"/>
    <w:rsid w:val="005F138C"/>
    <w:rsid w:val="005F1ED1"/>
    <w:rsid w:val="005F202D"/>
    <w:rsid w:val="005F2918"/>
    <w:rsid w:val="005F2B54"/>
    <w:rsid w:val="005F397F"/>
    <w:rsid w:val="005F4886"/>
    <w:rsid w:val="005F55FF"/>
    <w:rsid w:val="005F6C33"/>
    <w:rsid w:val="005F781C"/>
    <w:rsid w:val="006008D4"/>
    <w:rsid w:val="00600EFC"/>
    <w:rsid w:val="00600FD8"/>
    <w:rsid w:val="00603875"/>
    <w:rsid w:val="0060480D"/>
    <w:rsid w:val="00604E81"/>
    <w:rsid w:val="00605165"/>
    <w:rsid w:val="006069AF"/>
    <w:rsid w:val="00606A30"/>
    <w:rsid w:val="00611937"/>
    <w:rsid w:val="00612521"/>
    <w:rsid w:val="00612599"/>
    <w:rsid w:val="00613306"/>
    <w:rsid w:val="00613BF1"/>
    <w:rsid w:val="0061449E"/>
    <w:rsid w:val="0061676D"/>
    <w:rsid w:val="0061705C"/>
    <w:rsid w:val="00617479"/>
    <w:rsid w:val="0061749C"/>
    <w:rsid w:val="00617A68"/>
    <w:rsid w:val="00620809"/>
    <w:rsid w:val="0062139B"/>
    <w:rsid w:val="006216A3"/>
    <w:rsid w:val="00622811"/>
    <w:rsid w:val="00623F18"/>
    <w:rsid w:val="00624494"/>
    <w:rsid w:val="006249F6"/>
    <w:rsid w:val="006250CA"/>
    <w:rsid w:val="00625CE6"/>
    <w:rsid w:val="00626821"/>
    <w:rsid w:val="006307CE"/>
    <w:rsid w:val="006307FD"/>
    <w:rsid w:val="00630DE5"/>
    <w:rsid w:val="00630F61"/>
    <w:rsid w:val="006323E7"/>
    <w:rsid w:val="0063276D"/>
    <w:rsid w:val="00634A1A"/>
    <w:rsid w:val="006378FC"/>
    <w:rsid w:val="0063792F"/>
    <w:rsid w:val="00637C0D"/>
    <w:rsid w:val="006411B2"/>
    <w:rsid w:val="00641A0F"/>
    <w:rsid w:val="00641B1F"/>
    <w:rsid w:val="00641E33"/>
    <w:rsid w:val="00644E64"/>
    <w:rsid w:val="006453FC"/>
    <w:rsid w:val="00647776"/>
    <w:rsid w:val="0065187C"/>
    <w:rsid w:val="00651CF8"/>
    <w:rsid w:val="006537E0"/>
    <w:rsid w:val="00654673"/>
    <w:rsid w:val="00655ED7"/>
    <w:rsid w:val="00661A8D"/>
    <w:rsid w:val="00662A24"/>
    <w:rsid w:val="006633D2"/>
    <w:rsid w:val="00664901"/>
    <w:rsid w:val="00664AC2"/>
    <w:rsid w:val="00664E19"/>
    <w:rsid w:val="00665385"/>
    <w:rsid w:val="00665BF4"/>
    <w:rsid w:val="00665F22"/>
    <w:rsid w:val="006671CF"/>
    <w:rsid w:val="00667E05"/>
    <w:rsid w:val="006721E9"/>
    <w:rsid w:val="00672442"/>
    <w:rsid w:val="006730F9"/>
    <w:rsid w:val="00674353"/>
    <w:rsid w:val="00674E4E"/>
    <w:rsid w:val="006754E4"/>
    <w:rsid w:val="006759EF"/>
    <w:rsid w:val="0067672E"/>
    <w:rsid w:val="006808A5"/>
    <w:rsid w:val="00682EB8"/>
    <w:rsid w:val="00683C24"/>
    <w:rsid w:val="00683E34"/>
    <w:rsid w:val="00683E85"/>
    <w:rsid w:val="0068576C"/>
    <w:rsid w:val="0068601C"/>
    <w:rsid w:val="006861F3"/>
    <w:rsid w:val="00686A07"/>
    <w:rsid w:val="0068744B"/>
    <w:rsid w:val="006878B8"/>
    <w:rsid w:val="00687A6B"/>
    <w:rsid w:val="00687B95"/>
    <w:rsid w:val="00690EB0"/>
    <w:rsid w:val="00692BB3"/>
    <w:rsid w:val="00693FEB"/>
    <w:rsid w:val="00695292"/>
    <w:rsid w:val="00695590"/>
    <w:rsid w:val="00696872"/>
    <w:rsid w:val="0069693B"/>
    <w:rsid w:val="00697DD7"/>
    <w:rsid w:val="006A0963"/>
    <w:rsid w:val="006A0E2F"/>
    <w:rsid w:val="006A1CBC"/>
    <w:rsid w:val="006A1EFC"/>
    <w:rsid w:val="006A3486"/>
    <w:rsid w:val="006A35E5"/>
    <w:rsid w:val="006A40C3"/>
    <w:rsid w:val="006A7C7D"/>
    <w:rsid w:val="006B0C08"/>
    <w:rsid w:val="006B35AE"/>
    <w:rsid w:val="006B5740"/>
    <w:rsid w:val="006B5B5F"/>
    <w:rsid w:val="006B796B"/>
    <w:rsid w:val="006B7E0B"/>
    <w:rsid w:val="006C0AC1"/>
    <w:rsid w:val="006C1586"/>
    <w:rsid w:val="006C207F"/>
    <w:rsid w:val="006C2386"/>
    <w:rsid w:val="006C24A1"/>
    <w:rsid w:val="006C2FDF"/>
    <w:rsid w:val="006C3E17"/>
    <w:rsid w:val="006C4AF0"/>
    <w:rsid w:val="006C5D55"/>
    <w:rsid w:val="006D07E6"/>
    <w:rsid w:val="006D0DF4"/>
    <w:rsid w:val="006D1334"/>
    <w:rsid w:val="006D2391"/>
    <w:rsid w:val="006D2E4F"/>
    <w:rsid w:val="006D594F"/>
    <w:rsid w:val="006D59AD"/>
    <w:rsid w:val="006D67CF"/>
    <w:rsid w:val="006D734B"/>
    <w:rsid w:val="006D7C39"/>
    <w:rsid w:val="006E055D"/>
    <w:rsid w:val="006E09F7"/>
    <w:rsid w:val="006E0F65"/>
    <w:rsid w:val="006E10AA"/>
    <w:rsid w:val="006E38CE"/>
    <w:rsid w:val="006E38F8"/>
    <w:rsid w:val="006E463A"/>
    <w:rsid w:val="006E498B"/>
    <w:rsid w:val="006E4E4A"/>
    <w:rsid w:val="006E6789"/>
    <w:rsid w:val="006F0B19"/>
    <w:rsid w:val="006F2450"/>
    <w:rsid w:val="006F3A9D"/>
    <w:rsid w:val="006F4183"/>
    <w:rsid w:val="006F47EC"/>
    <w:rsid w:val="006F4984"/>
    <w:rsid w:val="006F6FE7"/>
    <w:rsid w:val="006F74A2"/>
    <w:rsid w:val="006F7BE4"/>
    <w:rsid w:val="006F7F3B"/>
    <w:rsid w:val="006F7F3E"/>
    <w:rsid w:val="00700A1E"/>
    <w:rsid w:val="00700B72"/>
    <w:rsid w:val="0070160F"/>
    <w:rsid w:val="00702A0C"/>
    <w:rsid w:val="00702F22"/>
    <w:rsid w:val="007032B9"/>
    <w:rsid w:val="00704201"/>
    <w:rsid w:val="0070527B"/>
    <w:rsid w:val="00705CF1"/>
    <w:rsid w:val="007101C1"/>
    <w:rsid w:val="007102E7"/>
    <w:rsid w:val="0071070F"/>
    <w:rsid w:val="00711AAD"/>
    <w:rsid w:val="007126BD"/>
    <w:rsid w:val="00712A1E"/>
    <w:rsid w:val="00713123"/>
    <w:rsid w:val="007138C9"/>
    <w:rsid w:val="0071432D"/>
    <w:rsid w:val="0071484C"/>
    <w:rsid w:val="0071600B"/>
    <w:rsid w:val="00716431"/>
    <w:rsid w:val="00720E8E"/>
    <w:rsid w:val="00722469"/>
    <w:rsid w:val="00722BB6"/>
    <w:rsid w:val="00722EF9"/>
    <w:rsid w:val="007243B8"/>
    <w:rsid w:val="00724698"/>
    <w:rsid w:val="00730F2B"/>
    <w:rsid w:val="007311BA"/>
    <w:rsid w:val="0073194A"/>
    <w:rsid w:val="007325A5"/>
    <w:rsid w:val="0073602C"/>
    <w:rsid w:val="00740D91"/>
    <w:rsid w:val="0075386F"/>
    <w:rsid w:val="00756177"/>
    <w:rsid w:val="00760197"/>
    <w:rsid w:val="007602FB"/>
    <w:rsid w:val="00760C31"/>
    <w:rsid w:val="00762394"/>
    <w:rsid w:val="00762874"/>
    <w:rsid w:val="007647F8"/>
    <w:rsid w:val="00766D8D"/>
    <w:rsid w:val="00767D37"/>
    <w:rsid w:val="00774F3B"/>
    <w:rsid w:val="00777553"/>
    <w:rsid w:val="0078094F"/>
    <w:rsid w:val="00781D47"/>
    <w:rsid w:val="00781EAF"/>
    <w:rsid w:val="00782AA5"/>
    <w:rsid w:val="007833EE"/>
    <w:rsid w:val="00783E05"/>
    <w:rsid w:val="00784A7F"/>
    <w:rsid w:val="007868A2"/>
    <w:rsid w:val="00786A82"/>
    <w:rsid w:val="00787219"/>
    <w:rsid w:val="00787FEE"/>
    <w:rsid w:val="0079079A"/>
    <w:rsid w:val="00791DF0"/>
    <w:rsid w:val="00793EA1"/>
    <w:rsid w:val="00793FC8"/>
    <w:rsid w:val="00794458"/>
    <w:rsid w:val="00796002"/>
    <w:rsid w:val="007963D4"/>
    <w:rsid w:val="007A0EC0"/>
    <w:rsid w:val="007A286D"/>
    <w:rsid w:val="007A36AC"/>
    <w:rsid w:val="007A5DFB"/>
    <w:rsid w:val="007A7922"/>
    <w:rsid w:val="007B0753"/>
    <w:rsid w:val="007B0AC8"/>
    <w:rsid w:val="007B240A"/>
    <w:rsid w:val="007B2F0C"/>
    <w:rsid w:val="007B51E7"/>
    <w:rsid w:val="007B7DA2"/>
    <w:rsid w:val="007C0676"/>
    <w:rsid w:val="007C109A"/>
    <w:rsid w:val="007C1509"/>
    <w:rsid w:val="007C48FF"/>
    <w:rsid w:val="007D017F"/>
    <w:rsid w:val="007D054C"/>
    <w:rsid w:val="007D0920"/>
    <w:rsid w:val="007D1077"/>
    <w:rsid w:val="007D1789"/>
    <w:rsid w:val="007D281D"/>
    <w:rsid w:val="007D3D64"/>
    <w:rsid w:val="007D47B6"/>
    <w:rsid w:val="007D485F"/>
    <w:rsid w:val="007D55E1"/>
    <w:rsid w:val="007D56C3"/>
    <w:rsid w:val="007D6563"/>
    <w:rsid w:val="007D697D"/>
    <w:rsid w:val="007D7085"/>
    <w:rsid w:val="007E0704"/>
    <w:rsid w:val="007E0F72"/>
    <w:rsid w:val="007E4125"/>
    <w:rsid w:val="007E4942"/>
    <w:rsid w:val="007E4E63"/>
    <w:rsid w:val="007E6374"/>
    <w:rsid w:val="007E7D7B"/>
    <w:rsid w:val="007F2FE6"/>
    <w:rsid w:val="007F30F7"/>
    <w:rsid w:val="007F55B8"/>
    <w:rsid w:val="007F5EFC"/>
    <w:rsid w:val="007F6274"/>
    <w:rsid w:val="007F6B01"/>
    <w:rsid w:val="007F6D0A"/>
    <w:rsid w:val="008024F4"/>
    <w:rsid w:val="008044E1"/>
    <w:rsid w:val="0080558F"/>
    <w:rsid w:val="008100BC"/>
    <w:rsid w:val="008108C2"/>
    <w:rsid w:val="008109A4"/>
    <w:rsid w:val="00812E50"/>
    <w:rsid w:val="008137A3"/>
    <w:rsid w:val="00814F32"/>
    <w:rsid w:val="0081523A"/>
    <w:rsid w:val="00815B40"/>
    <w:rsid w:val="00817EF4"/>
    <w:rsid w:val="00822091"/>
    <w:rsid w:val="00822FB2"/>
    <w:rsid w:val="008257CD"/>
    <w:rsid w:val="0082683F"/>
    <w:rsid w:val="00827036"/>
    <w:rsid w:val="00827D5B"/>
    <w:rsid w:val="008301AE"/>
    <w:rsid w:val="008302CC"/>
    <w:rsid w:val="00831593"/>
    <w:rsid w:val="00831FC0"/>
    <w:rsid w:val="008320EA"/>
    <w:rsid w:val="008325FD"/>
    <w:rsid w:val="00833039"/>
    <w:rsid w:val="00833298"/>
    <w:rsid w:val="0083351D"/>
    <w:rsid w:val="00833DB8"/>
    <w:rsid w:val="00834888"/>
    <w:rsid w:val="00834CAE"/>
    <w:rsid w:val="0083574D"/>
    <w:rsid w:val="00835AD6"/>
    <w:rsid w:val="00835DCA"/>
    <w:rsid w:val="00836E1F"/>
    <w:rsid w:val="008376C6"/>
    <w:rsid w:val="008413BF"/>
    <w:rsid w:val="00841A9E"/>
    <w:rsid w:val="0084585A"/>
    <w:rsid w:val="00845D68"/>
    <w:rsid w:val="0084683F"/>
    <w:rsid w:val="00847C97"/>
    <w:rsid w:val="00850473"/>
    <w:rsid w:val="00851D58"/>
    <w:rsid w:val="008530CD"/>
    <w:rsid w:val="00856F57"/>
    <w:rsid w:val="00862C44"/>
    <w:rsid w:val="00864C78"/>
    <w:rsid w:val="00864FAC"/>
    <w:rsid w:val="008650E0"/>
    <w:rsid w:val="00865DB5"/>
    <w:rsid w:val="00867B97"/>
    <w:rsid w:val="008702FA"/>
    <w:rsid w:val="00871AC1"/>
    <w:rsid w:val="00872861"/>
    <w:rsid w:val="00872A43"/>
    <w:rsid w:val="00873284"/>
    <w:rsid w:val="0087493A"/>
    <w:rsid w:val="00876CD4"/>
    <w:rsid w:val="008771CD"/>
    <w:rsid w:val="008773B6"/>
    <w:rsid w:val="00877A77"/>
    <w:rsid w:val="00882387"/>
    <w:rsid w:val="0088413E"/>
    <w:rsid w:val="00886169"/>
    <w:rsid w:val="00886819"/>
    <w:rsid w:val="00886DB9"/>
    <w:rsid w:val="008879AA"/>
    <w:rsid w:val="00893D83"/>
    <w:rsid w:val="00893F18"/>
    <w:rsid w:val="00894071"/>
    <w:rsid w:val="00895044"/>
    <w:rsid w:val="00895401"/>
    <w:rsid w:val="008A2010"/>
    <w:rsid w:val="008A23E5"/>
    <w:rsid w:val="008A4521"/>
    <w:rsid w:val="008A49CB"/>
    <w:rsid w:val="008A52BE"/>
    <w:rsid w:val="008A5315"/>
    <w:rsid w:val="008A58CE"/>
    <w:rsid w:val="008A5BA6"/>
    <w:rsid w:val="008A762D"/>
    <w:rsid w:val="008A77E2"/>
    <w:rsid w:val="008A7ADD"/>
    <w:rsid w:val="008A7CE3"/>
    <w:rsid w:val="008B2314"/>
    <w:rsid w:val="008B264F"/>
    <w:rsid w:val="008B400D"/>
    <w:rsid w:val="008B442D"/>
    <w:rsid w:val="008B5BF0"/>
    <w:rsid w:val="008B5DE9"/>
    <w:rsid w:val="008B5F76"/>
    <w:rsid w:val="008B654E"/>
    <w:rsid w:val="008B7424"/>
    <w:rsid w:val="008C02B8"/>
    <w:rsid w:val="008C1D88"/>
    <w:rsid w:val="008C27A8"/>
    <w:rsid w:val="008C2E7A"/>
    <w:rsid w:val="008C6E10"/>
    <w:rsid w:val="008C7B46"/>
    <w:rsid w:val="008C7FB4"/>
    <w:rsid w:val="008D0B52"/>
    <w:rsid w:val="008D1043"/>
    <w:rsid w:val="008D2F6F"/>
    <w:rsid w:val="008D3B92"/>
    <w:rsid w:val="008D46B0"/>
    <w:rsid w:val="008D65F1"/>
    <w:rsid w:val="008D6ABD"/>
    <w:rsid w:val="008D73C0"/>
    <w:rsid w:val="008E14F5"/>
    <w:rsid w:val="008E3DAB"/>
    <w:rsid w:val="008E4F1B"/>
    <w:rsid w:val="008E6E48"/>
    <w:rsid w:val="008E74A5"/>
    <w:rsid w:val="008E7BE4"/>
    <w:rsid w:val="008E7C12"/>
    <w:rsid w:val="008E7C3D"/>
    <w:rsid w:val="008F17AE"/>
    <w:rsid w:val="008F23B8"/>
    <w:rsid w:val="008F4142"/>
    <w:rsid w:val="008F4AB4"/>
    <w:rsid w:val="008F5856"/>
    <w:rsid w:val="008F5B73"/>
    <w:rsid w:val="008F71F8"/>
    <w:rsid w:val="00901769"/>
    <w:rsid w:val="00902030"/>
    <w:rsid w:val="009037C2"/>
    <w:rsid w:val="00903C60"/>
    <w:rsid w:val="009043F3"/>
    <w:rsid w:val="009061EF"/>
    <w:rsid w:val="00907B02"/>
    <w:rsid w:val="00910184"/>
    <w:rsid w:val="00912CCA"/>
    <w:rsid w:val="00914AF7"/>
    <w:rsid w:val="009155E6"/>
    <w:rsid w:val="00915DCA"/>
    <w:rsid w:val="0091624A"/>
    <w:rsid w:val="00920035"/>
    <w:rsid w:val="009205BC"/>
    <w:rsid w:val="00923522"/>
    <w:rsid w:val="009248E6"/>
    <w:rsid w:val="00924A48"/>
    <w:rsid w:val="00924C01"/>
    <w:rsid w:val="00924EC3"/>
    <w:rsid w:val="0092598E"/>
    <w:rsid w:val="00926693"/>
    <w:rsid w:val="00926AB6"/>
    <w:rsid w:val="00926C7C"/>
    <w:rsid w:val="00926DAB"/>
    <w:rsid w:val="0092707D"/>
    <w:rsid w:val="00927AB4"/>
    <w:rsid w:val="00927B48"/>
    <w:rsid w:val="0093038B"/>
    <w:rsid w:val="00930556"/>
    <w:rsid w:val="00931DEC"/>
    <w:rsid w:val="009326C2"/>
    <w:rsid w:val="00935BA6"/>
    <w:rsid w:val="00936564"/>
    <w:rsid w:val="00937644"/>
    <w:rsid w:val="00937B39"/>
    <w:rsid w:val="00941CDF"/>
    <w:rsid w:val="009421A3"/>
    <w:rsid w:val="009427CD"/>
    <w:rsid w:val="00943FBC"/>
    <w:rsid w:val="0094484A"/>
    <w:rsid w:val="00945437"/>
    <w:rsid w:val="009474C1"/>
    <w:rsid w:val="009477A4"/>
    <w:rsid w:val="00947A7B"/>
    <w:rsid w:val="00950942"/>
    <w:rsid w:val="00950E91"/>
    <w:rsid w:val="00951A7B"/>
    <w:rsid w:val="009520E6"/>
    <w:rsid w:val="00952148"/>
    <w:rsid w:val="00954103"/>
    <w:rsid w:val="00954B8A"/>
    <w:rsid w:val="009561A7"/>
    <w:rsid w:val="00960283"/>
    <w:rsid w:val="0096044A"/>
    <w:rsid w:val="009605D2"/>
    <w:rsid w:val="009619D0"/>
    <w:rsid w:val="00965007"/>
    <w:rsid w:val="00970544"/>
    <w:rsid w:val="0097105E"/>
    <w:rsid w:val="009721C8"/>
    <w:rsid w:val="00972391"/>
    <w:rsid w:val="0097462C"/>
    <w:rsid w:val="009747C2"/>
    <w:rsid w:val="00974BD0"/>
    <w:rsid w:val="0097510A"/>
    <w:rsid w:val="00976702"/>
    <w:rsid w:val="00980EB8"/>
    <w:rsid w:val="009811DB"/>
    <w:rsid w:val="009812F7"/>
    <w:rsid w:val="00982A7B"/>
    <w:rsid w:val="00984B51"/>
    <w:rsid w:val="00984EA9"/>
    <w:rsid w:val="00985339"/>
    <w:rsid w:val="0098593E"/>
    <w:rsid w:val="009871EB"/>
    <w:rsid w:val="00987EB2"/>
    <w:rsid w:val="009909D0"/>
    <w:rsid w:val="009912EC"/>
    <w:rsid w:val="0099168B"/>
    <w:rsid w:val="0099249E"/>
    <w:rsid w:val="00992918"/>
    <w:rsid w:val="009939A7"/>
    <w:rsid w:val="00994E53"/>
    <w:rsid w:val="009950ED"/>
    <w:rsid w:val="009963FC"/>
    <w:rsid w:val="009967D4"/>
    <w:rsid w:val="00996871"/>
    <w:rsid w:val="00996A55"/>
    <w:rsid w:val="009A044C"/>
    <w:rsid w:val="009A1DF8"/>
    <w:rsid w:val="009A271B"/>
    <w:rsid w:val="009A276C"/>
    <w:rsid w:val="009A3D52"/>
    <w:rsid w:val="009A4138"/>
    <w:rsid w:val="009A4198"/>
    <w:rsid w:val="009A48CC"/>
    <w:rsid w:val="009A4A80"/>
    <w:rsid w:val="009A54CD"/>
    <w:rsid w:val="009A61B7"/>
    <w:rsid w:val="009A77DF"/>
    <w:rsid w:val="009B0D08"/>
    <w:rsid w:val="009B1249"/>
    <w:rsid w:val="009B2519"/>
    <w:rsid w:val="009B2FAE"/>
    <w:rsid w:val="009B3988"/>
    <w:rsid w:val="009B441D"/>
    <w:rsid w:val="009B4A45"/>
    <w:rsid w:val="009B61D7"/>
    <w:rsid w:val="009B624B"/>
    <w:rsid w:val="009B6D51"/>
    <w:rsid w:val="009B7511"/>
    <w:rsid w:val="009B7AD1"/>
    <w:rsid w:val="009C0384"/>
    <w:rsid w:val="009C0F63"/>
    <w:rsid w:val="009C4454"/>
    <w:rsid w:val="009C511B"/>
    <w:rsid w:val="009C5BC1"/>
    <w:rsid w:val="009D1FB5"/>
    <w:rsid w:val="009D2894"/>
    <w:rsid w:val="009D3E61"/>
    <w:rsid w:val="009D5941"/>
    <w:rsid w:val="009D5C25"/>
    <w:rsid w:val="009D5FA7"/>
    <w:rsid w:val="009D69A1"/>
    <w:rsid w:val="009D7418"/>
    <w:rsid w:val="009D7542"/>
    <w:rsid w:val="009E0372"/>
    <w:rsid w:val="009E0419"/>
    <w:rsid w:val="009E1A5B"/>
    <w:rsid w:val="009E1C5F"/>
    <w:rsid w:val="009E239F"/>
    <w:rsid w:val="009E270A"/>
    <w:rsid w:val="009E2E5A"/>
    <w:rsid w:val="009E43C0"/>
    <w:rsid w:val="009E4679"/>
    <w:rsid w:val="009E4B0B"/>
    <w:rsid w:val="009E4C15"/>
    <w:rsid w:val="009E715F"/>
    <w:rsid w:val="009E7B3D"/>
    <w:rsid w:val="009E7EE2"/>
    <w:rsid w:val="009F0A84"/>
    <w:rsid w:val="009F1F6A"/>
    <w:rsid w:val="009F420E"/>
    <w:rsid w:val="009F65D0"/>
    <w:rsid w:val="009F6E29"/>
    <w:rsid w:val="009F770F"/>
    <w:rsid w:val="00A019AF"/>
    <w:rsid w:val="00A02019"/>
    <w:rsid w:val="00A030D3"/>
    <w:rsid w:val="00A0434D"/>
    <w:rsid w:val="00A04492"/>
    <w:rsid w:val="00A06C33"/>
    <w:rsid w:val="00A0791E"/>
    <w:rsid w:val="00A07EFD"/>
    <w:rsid w:val="00A117F4"/>
    <w:rsid w:val="00A11CD9"/>
    <w:rsid w:val="00A122C4"/>
    <w:rsid w:val="00A12B6E"/>
    <w:rsid w:val="00A1456E"/>
    <w:rsid w:val="00A15039"/>
    <w:rsid w:val="00A15489"/>
    <w:rsid w:val="00A1625F"/>
    <w:rsid w:val="00A163D0"/>
    <w:rsid w:val="00A20E3D"/>
    <w:rsid w:val="00A21C34"/>
    <w:rsid w:val="00A21DDF"/>
    <w:rsid w:val="00A221A9"/>
    <w:rsid w:val="00A223BC"/>
    <w:rsid w:val="00A22F56"/>
    <w:rsid w:val="00A22F69"/>
    <w:rsid w:val="00A23B6F"/>
    <w:rsid w:val="00A24404"/>
    <w:rsid w:val="00A25729"/>
    <w:rsid w:val="00A3015D"/>
    <w:rsid w:val="00A33D0C"/>
    <w:rsid w:val="00A34F2E"/>
    <w:rsid w:val="00A34FAE"/>
    <w:rsid w:val="00A36022"/>
    <w:rsid w:val="00A42305"/>
    <w:rsid w:val="00A42AED"/>
    <w:rsid w:val="00A42E94"/>
    <w:rsid w:val="00A43ABA"/>
    <w:rsid w:val="00A44D67"/>
    <w:rsid w:val="00A45A7B"/>
    <w:rsid w:val="00A45C6E"/>
    <w:rsid w:val="00A46C7A"/>
    <w:rsid w:val="00A4703B"/>
    <w:rsid w:val="00A50727"/>
    <w:rsid w:val="00A526D9"/>
    <w:rsid w:val="00A527E6"/>
    <w:rsid w:val="00A52AEB"/>
    <w:rsid w:val="00A52B4F"/>
    <w:rsid w:val="00A535CC"/>
    <w:rsid w:val="00A53E76"/>
    <w:rsid w:val="00A54946"/>
    <w:rsid w:val="00A54D14"/>
    <w:rsid w:val="00A55BF4"/>
    <w:rsid w:val="00A571B1"/>
    <w:rsid w:val="00A5782C"/>
    <w:rsid w:val="00A57BBD"/>
    <w:rsid w:val="00A608CF"/>
    <w:rsid w:val="00A60C1D"/>
    <w:rsid w:val="00A61E33"/>
    <w:rsid w:val="00A6260D"/>
    <w:rsid w:val="00A63BF6"/>
    <w:rsid w:val="00A6424D"/>
    <w:rsid w:val="00A648FD"/>
    <w:rsid w:val="00A65AA0"/>
    <w:rsid w:val="00A667BE"/>
    <w:rsid w:val="00A6722B"/>
    <w:rsid w:val="00A70AC2"/>
    <w:rsid w:val="00A715B1"/>
    <w:rsid w:val="00A735EE"/>
    <w:rsid w:val="00A73A01"/>
    <w:rsid w:val="00A742C4"/>
    <w:rsid w:val="00A74937"/>
    <w:rsid w:val="00A762DD"/>
    <w:rsid w:val="00A77754"/>
    <w:rsid w:val="00A77D54"/>
    <w:rsid w:val="00A8000D"/>
    <w:rsid w:val="00A80019"/>
    <w:rsid w:val="00A80585"/>
    <w:rsid w:val="00A820DB"/>
    <w:rsid w:val="00A842C3"/>
    <w:rsid w:val="00A85AFB"/>
    <w:rsid w:val="00A869DC"/>
    <w:rsid w:val="00A87866"/>
    <w:rsid w:val="00A91344"/>
    <w:rsid w:val="00A923F9"/>
    <w:rsid w:val="00A93458"/>
    <w:rsid w:val="00A9387F"/>
    <w:rsid w:val="00A93D50"/>
    <w:rsid w:val="00A93D52"/>
    <w:rsid w:val="00A93EF1"/>
    <w:rsid w:val="00A94D0B"/>
    <w:rsid w:val="00AA12CB"/>
    <w:rsid w:val="00AA1A75"/>
    <w:rsid w:val="00AA1FD2"/>
    <w:rsid w:val="00AA3EFE"/>
    <w:rsid w:val="00AA44DD"/>
    <w:rsid w:val="00AA5AA5"/>
    <w:rsid w:val="00AA61C2"/>
    <w:rsid w:val="00AA6295"/>
    <w:rsid w:val="00AA7C59"/>
    <w:rsid w:val="00AB0720"/>
    <w:rsid w:val="00AB1BF4"/>
    <w:rsid w:val="00AB2BAB"/>
    <w:rsid w:val="00AB2CD9"/>
    <w:rsid w:val="00AB3463"/>
    <w:rsid w:val="00AB3824"/>
    <w:rsid w:val="00AB4C1A"/>
    <w:rsid w:val="00AB6C34"/>
    <w:rsid w:val="00AC0763"/>
    <w:rsid w:val="00AC0BDC"/>
    <w:rsid w:val="00AC1460"/>
    <w:rsid w:val="00AC1F6D"/>
    <w:rsid w:val="00AC3326"/>
    <w:rsid w:val="00AC3A0F"/>
    <w:rsid w:val="00AC3C5E"/>
    <w:rsid w:val="00AC5029"/>
    <w:rsid w:val="00AC743C"/>
    <w:rsid w:val="00AC7BCD"/>
    <w:rsid w:val="00AC7FD4"/>
    <w:rsid w:val="00AD088C"/>
    <w:rsid w:val="00AD475D"/>
    <w:rsid w:val="00AD5A28"/>
    <w:rsid w:val="00AD5F2A"/>
    <w:rsid w:val="00AD63FF"/>
    <w:rsid w:val="00AD7136"/>
    <w:rsid w:val="00AD7D0F"/>
    <w:rsid w:val="00AE0DA3"/>
    <w:rsid w:val="00AE1854"/>
    <w:rsid w:val="00AE1BE5"/>
    <w:rsid w:val="00AE2066"/>
    <w:rsid w:val="00AE2337"/>
    <w:rsid w:val="00AE243C"/>
    <w:rsid w:val="00AE296A"/>
    <w:rsid w:val="00AF0D40"/>
    <w:rsid w:val="00AF0F84"/>
    <w:rsid w:val="00AF2626"/>
    <w:rsid w:val="00AF307A"/>
    <w:rsid w:val="00AF32D9"/>
    <w:rsid w:val="00AF4425"/>
    <w:rsid w:val="00AF5554"/>
    <w:rsid w:val="00AF55E4"/>
    <w:rsid w:val="00AF5808"/>
    <w:rsid w:val="00AF5909"/>
    <w:rsid w:val="00AF7543"/>
    <w:rsid w:val="00AF7CD7"/>
    <w:rsid w:val="00B01FB8"/>
    <w:rsid w:val="00B03605"/>
    <w:rsid w:val="00B0386E"/>
    <w:rsid w:val="00B0436A"/>
    <w:rsid w:val="00B05B95"/>
    <w:rsid w:val="00B078AA"/>
    <w:rsid w:val="00B103BD"/>
    <w:rsid w:val="00B10A89"/>
    <w:rsid w:val="00B10D04"/>
    <w:rsid w:val="00B1129A"/>
    <w:rsid w:val="00B11BAD"/>
    <w:rsid w:val="00B12083"/>
    <w:rsid w:val="00B12472"/>
    <w:rsid w:val="00B125AF"/>
    <w:rsid w:val="00B12A80"/>
    <w:rsid w:val="00B17995"/>
    <w:rsid w:val="00B17C3B"/>
    <w:rsid w:val="00B2056A"/>
    <w:rsid w:val="00B20BE2"/>
    <w:rsid w:val="00B21AD8"/>
    <w:rsid w:val="00B2333E"/>
    <w:rsid w:val="00B250A7"/>
    <w:rsid w:val="00B27661"/>
    <w:rsid w:val="00B27D58"/>
    <w:rsid w:val="00B31E8D"/>
    <w:rsid w:val="00B32A9B"/>
    <w:rsid w:val="00B34EC2"/>
    <w:rsid w:val="00B354BF"/>
    <w:rsid w:val="00B3633C"/>
    <w:rsid w:val="00B364C3"/>
    <w:rsid w:val="00B36F90"/>
    <w:rsid w:val="00B41423"/>
    <w:rsid w:val="00B43127"/>
    <w:rsid w:val="00B441E3"/>
    <w:rsid w:val="00B46624"/>
    <w:rsid w:val="00B467F6"/>
    <w:rsid w:val="00B50491"/>
    <w:rsid w:val="00B5058B"/>
    <w:rsid w:val="00B5119A"/>
    <w:rsid w:val="00B52B6B"/>
    <w:rsid w:val="00B53660"/>
    <w:rsid w:val="00B541A4"/>
    <w:rsid w:val="00B54A27"/>
    <w:rsid w:val="00B55226"/>
    <w:rsid w:val="00B55782"/>
    <w:rsid w:val="00B55DB4"/>
    <w:rsid w:val="00B56BB5"/>
    <w:rsid w:val="00B56DCA"/>
    <w:rsid w:val="00B60310"/>
    <w:rsid w:val="00B60505"/>
    <w:rsid w:val="00B60A59"/>
    <w:rsid w:val="00B626F7"/>
    <w:rsid w:val="00B63026"/>
    <w:rsid w:val="00B6312F"/>
    <w:rsid w:val="00B63B69"/>
    <w:rsid w:val="00B6495F"/>
    <w:rsid w:val="00B66E1D"/>
    <w:rsid w:val="00B6762B"/>
    <w:rsid w:val="00B7153D"/>
    <w:rsid w:val="00B72324"/>
    <w:rsid w:val="00B73BDC"/>
    <w:rsid w:val="00B76404"/>
    <w:rsid w:val="00B7666E"/>
    <w:rsid w:val="00B77F5B"/>
    <w:rsid w:val="00B81735"/>
    <w:rsid w:val="00B82E70"/>
    <w:rsid w:val="00B82F38"/>
    <w:rsid w:val="00B83D04"/>
    <w:rsid w:val="00B84388"/>
    <w:rsid w:val="00B84501"/>
    <w:rsid w:val="00B85154"/>
    <w:rsid w:val="00B85206"/>
    <w:rsid w:val="00B85B0B"/>
    <w:rsid w:val="00B8601D"/>
    <w:rsid w:val="00B861B9"/>
    <w:rsid w:val="00B86FCB"/>
    <w:rsid w:val="00B879D9"/>
    <w:rsid w:val="00B87D0C"/>
    <w:rsid w:val="00B91C88"/>
    <w:rsid w:val="00B91D0A"/>
    <w:rsid w:val="00B927ED"/>
    <w:rsid w:val="00B92C32"/>
    <w:rsid w:val="00B95BBD"/>
    <w:rsid w:val="00B96430"/>
    <w:rsid w:val="00B97C89"/>
    <w:rsid w:val="00BA0C12"/>
    <w:rsid w:val="00BA20D7"/>
    <w:rsid w:val="00BA2D2D"/>
    <w:rsid w:val="00BA2F65"/>
    <w:rsid w:val="00BA5EC9"/>
    <w:rsid w:val="00BA6007"/>
    <w:rsid w:val="00BA741A"/>
    <w:rsid w:val="00BA759F"/>
    <w:rsid w:val="00BA7966"/>
    <w:rsid w:val="00BB02A9"/>
    <w:rsid w:val="00BB0F6C"/>
    <w:rsid w:val="00BB1FE7"/>
    <w:rsid w:val="00BB216C"/>
    <w:rsid w:val="00BB2455"/>
    <w:rsid w:val="00BB5AB6"/>
    <w:rsid w:val="00BB6170"/>
    <w:rsid w:val="00BB7DB9"/>
    <w:rsid w:val="00BC12EF"/>
    <w:rsid w:val="00BC2A54"/>
    <w:rsid w:val="00BC7A49"/>
    <w:rsid w:val="00BD1547"/>
    <w:rsid w:val="00BD4313"/>
    <w:rsid w:val="00BD56AE"/>
    <w:rsid w:val="00BD58F5"/>
    <w:rsid w:val="00BD6F9B"/>
    <w:rsid w:val="00BE2331"/>
    <w:rsid w:val="00BE2BF7"/>
    <w:rsid w:val="00BE5EEA"/>
    <w:rsid w:val="00BE6A40"/>
    <w:rsid w:val="00BE6D84"/>
    <w:rsid w:val="00BE6F4A"/>
    <w:rsid w:val="00BE79E7"/>
    <w:rsid w:val="00BF01E4"/>
    <w:rsid w:val="00BF11B7"/>
    <w:rsid w:val="00BF11C3"/>
    <w:rsid w:val="00BF166D"/>
    <w:rsid w:val="00BF2150"/>
    <w:rsid w:val="00BF2833"/>
    <w:rsid w:val="00BF29CD"/>
    <w:rsid w:val="00BF6ED1"/>
    <w:rsid w:val="00C0108B"/>
    <w:rsid w:val="00C01942"/>
    <w:rsid w:val="00C01EAB"/>
    <w:rsid w:val="00C03F4C"/>
    <w:rsid w:val="00C04323"/>
    <w:rsid w:val="00C04999"/>
    <w:rsid w:val="00C1185E"/>
    <w:rsid w:val="00C12944"/>
    <w:rsid w:val="00C146A1"/>
    <w:rsid w:val="00C147D2"/>
    <w:rsid w:val="00C15CA9"/>
    <w:rsid w:val="00C1621C"/>
    <w:rsid w:val="00C1670E"/>
    <w:rsid w:val="00C16F28"/>
    <w:rsid w:val="00C21030"/>
    <w:rsid w:val="00C2111C"/>
    <w:rsid w:val="00C22A0F"/>
    <w:rsid w:val="00C22A49"/>
    <w:rsid w:val="00C23784"/>
    <w:rsid w:val="00C25390"/>
    <w:rsid w:val="00C2557B"/>
    <w:rsid w:val="00C25FC5"/>
    <w:rsid w:val="00C32F28"/>
    <w:rsid w:val="00C3427A"/>
    <w:rsid w:val="00C37135"/>
    <w:rsid w:val="00C40206"/>
    <w:rsid w:val="00C40566"/>
    <w:rsid w:val="00C44E37"/>
    <w:rsid w:val="00C45063"/>
    <w:rsid w:val="00C4611D"/>
    <w:rsid w:val="00C473AE"/>
    <w:rsid w:val="00C4776A"/>
    <w:rsid w:val="00C47AA6"/>
    <w:rsid w:val="00C47B2D"/>
    <w:rsid w:val="00C47FBA"/>
    <w:rsid w:val="00C5028D"/>
    <w:rsid w:val="00C50A85"/>
    <w:rsid w:val="00C51EEE"/>
    <w:rsid w:val="00C521B6"/>
    <w:rsid w:val="00C55E5B"/>
    <w:rsid w:val="00C568DF"/>
    <w:rsid w:val="00C60022"/>
    <w:rsid w:val="00C6436B"/>
    <w:rsid w:val="00C64871"/>
    <w:rsid w:val="00C64EB3"/>
    <w:rsid w:val="00C65637"/>
    <w:rsid w:val="00C65EB6"/>
    <w:rsid w:val="00C67E1F"/>
    <w:rsid w:val="00C71949"/>
    <w:rsid w:val="00C737B3"/>
    <w:rsid w:val="00C73953"/>
    <w:rsid w:val="00C74648"/>
    <w:rsid w:val="00C75A10"/>
    <w:rsid w:val="00C75A2B"/>
    <w:rsid w:val="00C75C64"/>
    <w:rsid w:val="00C771B7"/>
    <w:rsid w:val="00C81749"/>
    <w:rsid w:val="00C8217D"/>
    <w:rsid w:val="00C827CF"/>
    <w:rsid w:val="00C83560"/>
    <w:rsid w:val="00C84F66"/>
    <w:rsid w:val="00C85B67"/>
    <w:rsid w:val="00C86304"/>
    <w:rsid w:val="00C86AF3"/>
    <w:rsid w:val="00C86CFF"/>
    <w:rsid w:val="00C92EB0"/>
    <w:rsid w:val="00C938B8"/>
    <w:rsid w:val="00C94007"/>
    <w:rsid w:val="00C94180"/>
    <w:rsid w:val="00C966AA"/>
    <w:rsid w:val="00CA07A3"/>
    <w:rsid w:val="00CA0B01"/>
    <w:rsid w:val="00CA2D39"/>
    <w:rsid w:val="00CA3ACC"/>
    <w:rsid w:val="00CA5D92"/>
    <w:rsid w:val="00CA6A1A"/>
    <w:rsid w:val="00CA75E2"/>
    <w:rsid w:val="00CA7C82"/>
    <w:rsid w:val="00CB01D7"/>
    <w:rsid w:val="00CB05FC"/>
    <w:rsid w:val="00CB0738"/>
    <w:rsid w:val="00CB17D7"/>
    <w:rsid w:val="00CB2CBD"/>
    <w:rsid w:val="00CB7BE9"/>
    <w:rsid w:val="00CB7E10"/>
    <w:rsid w:val="00CC0851"/>
    <w:rsid w:val="00CC0DB0"/>
    <w:rsid w:val="00CC2471"/>
    <w:rsid w:val="00CC2862"/>
    <w:rsid w:val="00CC2D54"/>
    <w:rsid w:val="00CC441E"/>
    <w:rsid w:val="00CC4FD7"/>
    <w:rsid w:val="00CC67C7"/>
    <w:rsid w:val="00CC7FFB"/>
    <w:rsid w:val="00CD1954"/>
    <w:rsid w:val="00CD3926"/>
    <w:rsid w:val="00CD3D21"/>
    <w:rsid w:val="00CD44D3"/>
    <w:rsid w:val="00CD4F5C"/>
    <w:rsid w:val="00CD5393"/>
    <w:rsid w:val="00CD5534"/>
    <w:rsid w:val="00CD5607"/>
    <w:rsid w:val="00CD7249"/>
    <w:rsid w:val="00CD7403"/>
    <w:rsid w:val="00CE0888"/>
    <w:rsid w:val="00CE155A"/>
    <w:rsid w:val="00CE42CF"/>
    <w:rsid w:val="00CE5356"/>
    <w:rsid w:val="00CE603E"/>
    <w:rsid w:val="00CF3325"/>
    <w:rsid w:val="00CF39D1"/>
    <w:rsid w:val="00CF3D15"/>
    <w:rsid w:val="00CF46CE"/>
    <w:rsid w:val="00CF500B"/>
    <w:rsid w:val="00CF5C3B"/>
    <w:rsid w:val="00CF7312"/>
    <w:rsid w:val="00CF78DE"/>
    <w:rsid w:val="00D00010"/>
    <w:rsid w:val="00D00F60"/>
    <w:rsid w:val="00D015EB"/>
    <w:rsid w:val="00D020FC"/>
    <w:rsid w:val="00D02139"/>
    <w:rsid w:val="00D0252B"/>
    <w:rsid w:val="00D03EE7"/>
    <w:rsid w:val="00D044CD"/>
    <w:rsid w:val="00D049DF"/>
    <w:rsid w:val="00D04ABD"/>
    <w:rsid w:val="00D04C1F"/>
    <w:rsid w:val="00D04C29"/>
    <w:rsid w:val="00D07790"/>
    <w:rsid w:val="00D11256"/>
    <w:rsid w:val="00D122C1"/>
    <w:rsid w:val="00D136EE"/>
    <w:rsid w:val="00D13A53"/>
    <w:rsid w:val="00D13D91"/>
    <w:rsid w:val="00D141C6"/>
    <w:rsid w:val="00D1559E"/>
    <w:rsid w:val="00D159CB"/>
    <w:rsid w:val="00D2435C"/>
    <w:rsid w:val="00D24A76"/>
    <w:rsid w:val="00D253FE"/>
    <w:rsid w:val="00D25E3A"/>
    <w:rsid w:val="00D26360"/>
    <w:rsid w:val="00D34200"/>
    <w:rsid w:val="00D34A39"/>
    <w:rsid w:val="00D365E7"/>
    <w:rsid w:val="00D37A56"/>
    <w:rsid w:val="00D40EDF"/>
    <w:rsid w:val="00D41867"/>
    <w:rsid w:val="00D42AD6"/>
    <w:rsid w:val="00D430D8"/>
    <w:rsid w:val="00D453E1"/>
    <w:rsid w:val="00D45817"/>
    <w:rsid w:val="00D46F25"/>
    <w:rsid w:val="00D57965"/>
    <w:rsid w:val="00D57F46"/>
    <w:rsid w:val="00D600A7"/>
    <w:rsid w:val="00D60D10"/>
    <w:rsid w:val="00D614C6"/>
    <w:rsid w:val="00D61A5F"/>
    <w:rsid w:val="00D626D5"/>
    <w:rsid w:val="00D62F03"/>
    <w:rsid w:val="00D63E4F"/>
    <w:rsid w:val="00D64B3B"/>
    <w:rsid w:val="00D67224"/>
    <w:rsid w:val="00D67E16"/>
    <w:rsid w:val="00D710FE"/>
    <w:rsid w:val="00D71362"/>
    <w:rsid w:val="00D719B7"/>
    <w:rsid w:val="00D71FA4"/>
    <w:rsid w:val="00D72F46"/>
    <w:rsid w:val="00D767C8"/>
    <w:rsid w:val="00D77677"/>
    <w:rsid w:val="00D81667"/>
    <w:rsid w:val="00D81E4B"/>
    <w:rsid w:val="00D82B8F"/>
    <w:rsid w:val="00D83430"/>
    <w:rsid w:val="00D8344D"/>
    <w:rsid w:val="00D8365A"/>
    <w:rsid w:val="00D83FAA"/>
    <w:rsid w:val="00D846A4"/>
    <w:rsid w:val="00D84FF8"/>
    <w:rsid w:val="00D85B9F"/>
    <w:rsid w:val="00D85F08"/>
    <w:rsid w:val="00D86130"/>
    <w:rsid w:val="00D871B9"/>
    <w:rsid w:val="00D877BD"/>
    <w:rsid w:val="00D90909"/>
    <w:rsid w:val="00D91F56"/>
    <w:rsid w:val="00D93D21"/>
    <w:rsid w:val="00D93DFF"/>
    <w:rsid w:val="00D9407D"/>
    <w:rsid w:val="00D94211"/>
    <w:rsid w:val="00D9468B"/>
    <w:rsid w:val="00D951B0"/>
    <w:rsid w:val="00D9609C"/>
    <w:rsid w:val="00D9730C"/>
    <w:rsid w:val="00DA172E"/>
    <w:rsid w:val="00DA1B98"/>
    <w:rsid w:val="00DA317E"/>
    <w:rsid w:val="00DA3EFF"/>
    <w:rsid w:val="00DA4D0F"/>
    <w:rsid w:val="00DA570C"/>
    <w:rsid w:val="00DA6DD1"/>
    <w:rsid w:val="00DA6FB3"/>
    <w:rsid w:val="00DA74B4"/>
    <w:rsid w:val="00DA758A"/>
    <w:rsid w:val="00DA75BD"/>
    <w:rsid w:val="00DB1169"/>
    <w:rsid w:val="00DB245F"/>
    <w:rsid w:val="00DB28D3"/>
    <w:rsid w:val="00DB36C0"/>
    <w:rsid w:val="00DB3ABF"/>
    <w:rsid w:val="00DB4222"/>
    <w:rsid w:val="00DB4475"/>
    <w:rsid w:val="00DB4C1F"/>
    <w:rsid w:val="00DB65EA"/>
    <w:rsid w:val="00DC0686"/>
    <w:rsid w:val="00DC06AF"/>
    <w:rsid w:val="00DC257E"/>
    <w:rsid w:val="00DC2D9F"/>
    <w:rsid w:val="00DC3E6D"/>
    <w:rsid w:val="00DC44E5"/>
    <w:rsid w:val="00DC4CBC"/>
    <w:rsid w:val="00DC5B70"/>
    <w:rsid w:val="00DD1989"/>
    <w:rsid w:val="00DD3266"/>
    <w:rsid w:val="00DD4C65"/>
    <w:rsid w:val="00DD6C1F"/>
    <w:rsid w:val="00DD7215"/>
    <w:rsid w:val="00DD75B6"/>
    <w:rsid w:val="00DE1340"/>
    <w:rsid w:val="00DE1D39"/>
    <w:rsid w:val="00DE24B6"/>
    <w:rsid w:val="00DE24E9"/>
    <w:rsid w:val="00DE3391"/>
    <w:rsid w:val="00DE40BB"/>
    <w:rsid w:val="00DE4B8E"/>
    <w:rsid w:val="00DE5ADC"/>
    <w:rsid w:val="00DE685C"/>
    <w:rsid w:val="00DE6973"/>
    <w:rsid w:val="00DE6C00"/>
    <w:rsid w:val="00DF0A12"/>
    <w:rsid w:val="00DF1361"/>
    <w:rsid w:val="00DF1C7C"/>
    <w:rsid w:val="00DF26EF"/>
    <w:rsid w:val="00DF2971"/>
    <w:rsid w:val="00DF299D"/>
    <w:rsid w:val="00DF301F"/>
    <w:rsid w:val="00DF4837"/>
    <w:rsid w:val="00DF62EB"/>
    <w:rsid w:val="00E0023F"/>
    <w:rsid w:val="00E05600"/>
    <w:rsid w:val="00E07038"/>
    <w:rsid w:val="00E11710"/>
    <w:rsid w:val="00E1451F"/>
    <w:rsid w:val="00E149C1"/>
    <w:rsid w:val="00E153AB"/>
    <w:rsid w:val="00E15CDC"/>
    <w:rsid w:val="00E16790"/>
    <w:rsid w:val="00E17056"/>
    <w:rsid w:val="00E2004F"/>
    <w:rsid w:val="00E21B97"/>
    <w:rsid w:val="00E21CF3"/>
    <w:rsid w:val="00E23BD7"/>
    <w:rsid w:val="00E243FC"/>
    <w:rsid w:val="00E246B5"/>
    <w:rsid w:val="00E300F7"/>
    <w:rsid w:val="00E30E92"/>
    <w:rsid w:val="00E30F37"/>
    <w:rsid w:val="00E31BB6"/>
    <w:rsid w:val="00E3399C"/>
    <w:rsid w:val="00E33A50"/>
    <w:rsid w:val="00E33E58"/>
    <w:rsid w:val="00E341BD"/>
    <w:rsid w:val="00E34784"/>
    <w:rsid w:val="00E35277"/>
    <w:rsid w:val="00E35F51"/>
    <w:rsid w:val="00E43335"/>
    <w:rsid w:val="00E45CA1"/>
    <w:rsid w:val="00E4730F"/>
    <w:rsid w:val="00E478FD"/>
    <w:rsid w:val="00E5155E"/>
    <w:rsid w:val="00E5568D"/>
    <w:rsid w:val="00E57C0C"/>
    <w:rsid w:val="00E60698"/>
    <w:rsid w:val="00E60797"/>
    <w:rsid w:val="00E614B0"/>
    <w:rsid w:val="00E6609E"/>
    <w:rsid w:val="00E6663A"/>
    <w:rsid w:val="00E70090"/>
    <w:rsid w:val="00E7181F"/>
    <w:rsid w:val="00E72467"/>
    <w:rsid w:val="00E74CEA"/>
    <w:rsid w:val="00E7667E"/>
    <w:rsid w:val="00E76B80"/>
    <w:rsid w:val="00E77E2F"/>
    <w:rsid w:val="00E77E55"/>
    <w:rsid w:val="00E80090"/>
    <w:rsid w:val="00E81859"/>
    <w:rsid w:val="00E8314E"/>
    <w:rsid w:val="00E835D3"/>
    <w:rsid w:val="00E8449E"/>
    <w:rsid w:val="00E847AF"/>
    <w:rsid w:val="00E85A4F"/>
    <w:rsid w:val="00E92C89"/>
    <w:rsid w:val="00E93F66"/>
    <w:rsid w:val="00E94E67"/>
    <w:rsid w:val="00E95D14"/>
    <w:rsid w:val="00E964C4"/>
    <w:rsid w:val="00E969AF"/>
    <w:rsid w:val="00EA0094"/>
    <w:rsid w:val="00EA110D"/>
    <w:rsid w:val="00EA11B6"/>
    <w:rsid w:val="00EA2D94"/>
    <w:rsid w:val="00EA33C1"/>
    <w:rsid w:val="00EA3AD3"/>
    <w:rsid w:val="00EA3BEF"/>
    <w:rsid w:val="00EA3CD3"/>
    <w:rsid w:val="00EA3E77"/>
    <w:rsid w:val="00EA4BF8"/>
    <w:rsid w:val="00EA51B6"/>
    <w:rsid w:val="00EA71E3"/>
    <w:rsid w:val="00EB012F"/>
    <w:rsid w:val="00EB10EE"/>
    <w:rsid w:val="00EB17A1"/>
    <w:rsid w:val="00EB1EFB"/>
    <w:rsid w:val="00EB2C70"/>
    <w:rsid w:val="00EB62BE"/>
    <w:rsid w:val="00EB67BC"/>
    <w:rsid w:val="00EB6866"/>
    <w:rsid w:val="00EB6E2F"/>
    <w:rsid w:val="00EC00CC"/>
    <w:rsid w:val="00EC3D6A"/>
    <w:rsid w:val="00EC5EEE"/>
    <w:rsid w:val="00EC7855"/>
    <w:rsid w:val="00ED06A9"/>
    <w:rsid w:val="00ED0F31"/>
    <w:rsid w:val="00ED2108"/>
    <w:rsid w:val="00ED24B9"/>
    <w:rsid w:val="00ED2D6A"/>
    <w:rsid w:val="00ED3767"/>
    <w:rsid w:val="00ED3DE3"/>
    <w:rsid w:val="00ED4124"/>
    <w:rsid w:val="00ED6B41"/>
    <w:rsid w:val="00ED7099"/>
    <w:rsid w:val="00ED7788"/>
    <w:rsid w:val="00ED795E"/>
    <w:rsid w:val="00EE02DB"/>
    <w:rsid w:val="00EE0486"/>
    <w:rsid w:val="00EE21E2"/>
    <w:rsid w:val="00EE223E"/>
    <w:rsid w:val="00EE3B0F"/>
    <w:rsid w:val="00EE3B5E"/>
    <w:rsid w:val="00EE5106"/>
    <w:rsid w:val="00EE5DEE"/>
    <w:rsid w:val="00EE5ECD"/>
    <w:rsid w:val="00EE680D"/>
    <w:rsid w:val="00EE6EA2"/>
    <w:rsid w:val="00EF0622"/>
    <w:rsid w:val="00EF0BE1"/>
    <w:rsid w:val="00EF1213"/>
    <w:rsid w:val="00EF231F"/>
    <w:rsid w:val="00EF2B05"/>
    <w:rsid w:val="00EF3502"/>
    <w:rsid w:val="00EF4832"/>
    <w:rsid w:val="00EF7715"/>
    <w:rsid w:val="00F01A5B"/>
    <w:rsid w:val="00F01BF3"/>
    <w:rsid w:val="00F02057"/>
    <w:rsid w:val="00F023C9"/>
    <w:rsid w:val="00F06C02"/>
    <w:rsid w:val="00F06E3E"/>
    <w:rsid w:val="00F06F44"/>
    <w:rsid w:val="00F0708E"/>
    <w:rsid w:val="00F07DD4"/>
    <w:rsid w:val="00F105A5"/>
    <w:rsid w:val="00F11A0B"/>
    <w:rsid w:val="00F11E67"/>
    <w:rsid w:val="00F12713"/>
    <w:rsid w:val="00F12D0C"/>
    <w:rsid w:val="00F1448B"/>
    <w:rsid w:val="00F15619"/>
    <w:rsid w:val="00F16F69"/>
    <w:rsid w:val="00F17BAD"/>
    <w:rsid w:val="00F17D4A"/>
    <w:rsid w:val="00F207A9"/>
    <w:rsid w:val="00F21408"/>
    <w:rsid w:val="00F22B77"/>
    <w:rsid w:val="00F23BE2"/>
    <w:rsid w:val="00F24189"/>
    <w:rsid w:val="00F25422"/>
    <w:rsid w:val="00F254FE"/>
    <w:rsid w:val="00F25A95"/>
    <w:rsid w:val="00F25C3F"/>
    <w:rsid w:val="00F26561"/>
    <w:rsid w:val="00F3033C"/>
    <w:rsid w:val="00F3084A"/>
    <w:rsid w:val="00F30F2C"/>
    <w:rsid w:val="00F33D92"/>
    <w:rsid w:val="00F33E97"/>
    <w:rsid w:val="00F34389"/>
    <w:rsid w:val="00F36A8A"/>
    <w:rsid w:val="00F3728F"/>
    <w:rsid w:val="00F40F77"/>
    <w:rsid w:val="00F43B99"/>
    <w:rsid w:val="00F45DF7"/>
    <w:rsid w:val="00F469D9"/>
    <w:rsid w:val="00F47116"/>
    <w:rsid w:val="00F4798D"/>
    <w:rsid w:val="00F511BF"/>
    <w:rsid w:val="00F51EBC"/>
    <w:rsid w:val="00F54CCB"/>
    <w:rsid w:val="00F5634A"/>
    <w:rsid w:val="00F5731C"/>
    <w:rsid w:val="00F60603"/>
    <w:rsid w:val="00F60B64"/>
    <w:rsid w:val="00F60BB5"/>
    <w:rsid w:val="00F60CBE"/>
    <w:rsid w:val="00F61598"/>
    <w:rsid w:val="00F630D5"/>
    <w:rsid w:val="00F638DE"/>
    <w:rsid w:val="00F63ACB"/>
    <w:rsid w:val="00F64061"/>
    <w:rsid w:val="00F64854"/>
    <w:rsid w:val="00F64ACE"/>
    <w:rsid w:val="00F6580D"/>
    <w:rsid w:val="00F65940"/>
    <w:rsid w:val="00F703A9"/>
    <w:rsid w:val="00F706C8"/>
    <w:rsid w:val="00F71B9E"/>
    <w:rsid w:val="00F722B7"/>
    <w:rsid w:val="00F7330C"/>
    <w:rsid w:val="00F738C1"/>
    <w:rsid w:val="00F75131"/>
    <w:rsid w:val="00F7564A"/>
    <w:rsid w:val="00F75CA7"/>
    <w:rsid w:val="00F75F73"/>
    <w:rsid w:val="00F818CD"/>
    <w:rsid w:val="00F82604"/>
    <w:rsid w:val="00F82629"/>
    <w:rsid w:val="00F838BA"/>
    <w:rsid w:val="00F83D39"/>
    <w:rsid w:val="00F84851"/>
    <w:rsid w:val="00F84898"/>
    <w:rsid w:val="00F84A92"/>
    <w:rsid w:val="00F87238"/>
    <w:rsid w:val="00F87939"/>
    <w:rsid w:val="00F91021"/>
    <w:rsid w:val="00F917C8"/>
    <w:rsid w:val="00F919FE"/>
    <w:rsid w:val="00F947C1"/>
    <w:rsid w:val="00F95342"/>
    <w:rsid w:val="00F959D0"/>
    <w:rsid w:val="00F97247"/>
    <w:rsid w:val="00FA03F5"/>
    <w:rsid w:val="00FA1546"/>
    <w:rsid w:val="00FA287C"/>
    <w:rsid w:val="00FA29CC"/>
    <w:rsid w:val="00FA5F60"/>
    <w:rsid w:val="00FA71FC"/>
    <w:rsid w:val="00FB0311"/>
    <w:rsid w:val="00FB06ED"/>
    <w:rsid w:val="00FB095A"/>
    <w:rsid w:val="00FB0C67"/>
    <w:rsid w:val="00FB15C2"/>
    <w:rsid w:val="00FB1910"/>
    <w:rsid w:val="00FB2860"/>
    <w:rsid w:val="00FB4A80"/>
    <w:rsid w:val="00FB4AD1"/>
    <w:rsid w:val="00FB4DEF"/>
    <w:rsid w:val="00FB5812"/>
    <w:rsid w:val="00FB62D1"/>
    <w:rsid w:val="00FC19D5"/>
    <w:rsid w:val="00FC234D"/>
    <w:rsid w:val="00FC2C37"/>
    <w:rsid w:val="00FC331E"/>
    <w:rsid w:val="00FC47C4"/>
    <w:rsid w:val="00FC4F4C"/>
    <w:rsid w:val="00FC5ED5"/>
    <w:rsid w:val="00FC5FF0"/>
    <w:rsid w:val="00FC67C0"/>
    <w:rsid w:val="00FC7231"/>
    <w:rsid w:val="00FC7248"/>
    <w:rsid w:val="00FD1747"/>
    <w:rsid w:val="00FD3196"/>
    <w:rsid w:val="00FD5079"/>
    <w:rsid w:val="00FD535D"/>
    <w:rsid w:val="00FD58A6"/>
    <w:rsid w:val="00FD5DE9"/>
    <w:rsid w:val="00FD6105"/>
    <w:rsid w:val="00FD6317"/>
    <w:rsid w:val="00FD71B8"/>
    <w:rsid w:val="00FD7634"/>
    <w:rsid w:val="00FE439E"/>
    <w:rsid w:val="00FE64AB"/>
    <w:rsid w:val="00FE67FA"/>
    <w:rsid w:val="00FE6D23"/>
    <w:rsid w:val="00FF0116"/>
    <w:rsid w:val="00FF15EE"/>
    <w:rsid w:val="00FF25F5"/>
    <w:rsid w:val="00FF3AEA"/>
    <w:rsid w:val="00FF493F"/>
    <w:rsid w:val="00FF4A22"/>
    <w:rsid w:val="00FF5332"/>
    <w:rsid w:val="00FF5F9A"/>
    <w:rsid w:val="00FF747A"/>
    <w:rsid w:val="0DDB7A17"/>
    <w:rsid w:val="11965B96"/>
    <w:rsid w:val="1795232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BE6E1A"/>
  <w15:docId w15:val="{C8C13F76-DB25-4EE6-9CEE-F3960A05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qFormat="1"/>
    <w:lsdException w:name="line number" w:uiPriority="0" w:qFormat="1"/>
    <w:lsdException w:name="page number" w:uiPriority="0"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lsdException w:name="Body Text 3" w:uiPriority="0" w:qFormat="1"/>
    <w:lsdException w:name="Body Text Indent 2" w:uiPriority="0" w:qFormat="1"/>
    <w:lsdException w:name="Body Text Indent 3" w:qFormat="1"/>
    <w:lsdException w:name="Block Text" w:uiPriority="0" w:qFormat="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qFormat="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60" w:qFormat="1"/>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jc w:val="right"/>
    </w:pPr>
    <w:rPr>
      <w:rFonts w:ascii="Times New Roman" w:hAnsi="Times New Roman"/>
      <w:sz w:val="22"/>
      <w:szCs w:val="22"/>
    </w:rPr>
  </w:style>
  <w:style w:type="paragraph" w:styleId="1">
    <w:name w:val="heading 1"/>
    <w:basedOn w:val="a0"/>
    <w:next w:val="a0"/>
    <w:link w:val="10"/>
    <w:autoRedefine/>
    <w:qFormat/>
    <w:pPr>
      <w:keepNext/>
      <w:keepLines/>
      <w:spacing w:after="0"/>
      <w:ind w:left="720" w:right="424"/>
      <w:jc w:val="center"/>
      <w:outlineLvl w:val="0"/>
    </w:pPr>
    <w:rPr>
      <w:b/>
      <w:bCs/>
      <w:color w:val="C45911" w:themeColor="accent2" w:themeShade="BF"/>
      <w:sz w:val="28"/>
      <w:szCs w:val="28"/>
    </w:rPr>
  </w:style>
  <w:style w:type="paragraph" w:styleId="2">
    <w:name w:val="heading 2"/>
    <w:basedOn w:val="a0"/>
    <w:next w:val="a0"/>
    <w:link w:val="20"/>
    <w:uiPriority w:val="9"/>
    <w:unhideWhenUsed/>
    <w:qFormat/>
    <w:pPr>
      <w:keepNext/>
      <w:keepLines/>
      <w:spacing w:before="200" w:after="0"/>
      <w:outlineLvl w:val="1"/>
    </w:pPr>
    <w:rPr>
      <w:rFonts w:asciiTheme="majorHAnsi" w:eastAsiaTheme="majorEastAsia" w:hAnsiTheme="majorHAnsi"/>
      <w:b/>
      <w:bCs/>
      <w:color w:val="5B9BD5" w:themeColor="accent1"/>
      <w:sz w:val="26"/>
      <w:szCs w:val="26"/>
    </w:rPr>
  </w:style>
  <w:style w:type="paragraph" w:styleId="3">
    <w:name w:val="heading 3"/>
    <w:basedOn w:val="a0"/>
    <w:next w:val="a0"/>
    <w:link w:val="30"/>
    <w:uiPriority w:val="9"/>
    <w:unhideWhenUsed/>
    <w:qFormat/>
    <w:pPr>
      <w:keepNext/>
      <w:keepLines/>
      <w:spacing w:before="200" w:after="0"/>
      <w:outlineLvl w:val="2"/>
    </w:pPr>
    <w:rPr>
      <w:rFonts w:asciiTheme="majorHAnsi" w:eastAsiaTheme="majorEastAsia" w:hAnsiTheme="majorHAnsi"/>
      <w:b/>
      <w:bCs/>
      <w:color w:val="5B9BD5" w:themeColor="accent1"/>
    </w:rPr>
  </w:style>
  <w:style w:type="paragraph" w:styleId="4">
    <w:name w:val="heading 4"/>
    <w:basedOn w:val="a0"/>
    <w:next w:val="a0"/>
    <w:link w:val="40"/>
    <w:qFormat/>
    <w:pPr>
      <w:keepNext/>
      <w:tabs>
        <w:tab w:val="left" w:pos="3969"/>
        <w:tab w:val="left" w:pos="4111"/>
      </w:tabs>
      <w:spacing w:after="0" w:line="240" w:lineRule="auto"/>
      <w:ind w:hanging="108"/>
      <w:outlineLvl w:val="3"/>
    </w:pPr>
    <w:rPr>
      <w:b/>
      <w:i/>
      <w:sz w:val="20"/>
      <w:szCs w:val="20"/>
    </w:rPr>
  </w:style>
  <w:style w:type="paragraph" w:styleId="5">
    <w:name w:val="heading 5"/>
    <w:basedOn w:val="a0"/>
    <w:next w:val="a0"/>
    <w:link w:val="50"/>
    <w:qFormat/>
    <w:pPr>
      <w:keepNext/>
      <w:spacing w:after="0" w:line="240" w:lineRule="auto"/>
      <w:jc w:val="center"/>
      <w:outlineLvl w:val="4"/>
    </w:pPr>
    <w:rPr>
      <w:b/>
      <w:sz w:val="28"/>
      <w:szCs w:val="24"/>
    </w:rPr>
  </w:style>
  <w:style w:type="paragraph" w:styleId="6">
    <w:name w:val="heading 6"/>
    <w:basedOn w:val="a0"/>
    <w:next w:val="a0"/>
    <w:link w:val="60"/>
    <w:uiPriority w:val="9"/>
    <w:unhideWhenUsed/>
    <w:qFormat/>
    <w:pPr>
      <w:shd w:val="clear" w:color="auto" w:fill="FFFFFF" w:themeFill="background1"/>
      <w:spacing w:after="0" w:line="271" w:lineRule="auto"/>
      <w:jc w:val="left"/>
      <w:outlineLvl w:val="5"/>
    </w:pPr>
    <w:rPr>
      <w:rFonts w:asciiTheme="majorHAnsi" w:eastAsiaTheme="majorEastAsia" w:hAnsiTheme="majorHAnsi"/>
      <w:b/>
      <w:bCs/>
      <w:color w:val="595959" w:themeColor="text1" w:themeTint="A6"/>
      <w:spacing w:val="5"/>
      <w:lang w:val="en-US" w:eastAsia="en-US"/>
    </w:rPr>
  </w:style>
  <w:style w:type="paragraph" w:styleId="7">
    <w:name w:val="heading 7"/>
    <w:basedOn w:val="a0"/>
    <w:next w:val="a0"/>
    <w:link w:val="70"/>
    <w:uiPriority w:val="9"/>
    <w:unhideWhenUsed/>
    <w:qFormat/>
    <w:pPr>
      <w:spacing w:after="0"/>
      <w:jc w:val="left"/>
      <w:outlineLvl w:val="6"/>
    </w:pPr>
    <w:rPr>
      <w:rFonts w:asciiTheme="majorHAnsi" w:eastAsiaTheme="majorEastAsia" w:hAnsiTheme="majorHAnsi"/>
      <w:b/>
      <w:bCs/>
      <w:i/>
      <w:iCs/>
      <w:color w:val="595959" w:themeColor="text1" w:themeTint="A6"/>
      <w:sz w:val="20"/>
      <w:szCs w:val="20"/>
      <w:lang w:val="en-US" w:eastAsia="en-US"/>
    </w:rPr>
  </w:style>
  <w:style w:type="paragraph" w:styleId="8">
    <w:name w:val="heading 8"/>
    <w:basedOn w:val="a0"/>
    <w:next w:val="a0"/>
    <w:link w:val="80"/>
    <w:uiPriority w:val="9"/>
    <w:unhideWhenUsed/>
    <w:qFormat/>
    <w:pPr>
      <w:spacing w:after="0"/>
      <w:jc w:val="left"/>
      <w:outlineLvl w:val="7"/>
    </w:pPr>
    <w:rPr>
      <w:rFonts w:asciiTheme="majorHAnsi" w:eastAsiaTheme="majorEastAsia" w:hAnsiTheme="majorHAnsi"/>
      <w:b/>
      <w:bCs/>
      <w:color w:val="7F7F7F" w:themeColor="text1" w:themeTint="80"/>
      <w:sz w:val="20"/>
      <w:szCs w:val="20"/>
      <w:lang w:val="en-US" w:eastAsia="en-US"/>
    </w:rPr>
  </w:style>
  <w:style w:type="paragraph" w:styleId="9">
    <w:name w:val="heading 9"/>
    <w:basedOn w:val="a0"/>
    <w:next w:val="a0"/>
    <w:link w:val="90"/>
    <w:uiPriority w:val="9"/>
    <w:unhideWhenUsed/>
    <w:qFormat/>
    <w:pPr>
      <w:spacing w:after="0" w:line="271" w:lineRule="auto"/>
      <w:jc w:val="left"/>
      <w:outlineLvl w:val="8"/>
    </w:pPr>
    <w:rPr>
      <w:rFonts w:asciiTheme="majorHAnsi" w:eastAsiaTheme="majorEastAsia" w:hAnsiTheme="majorHAnsi"/>
      <w:b/>
      <w:bCs/>
      <w:i/>
      <w:iCs/>
      <w:color w:val="7F7F7F" w:themeColor="text1" w:themeTint="80"/>
      <w:sz w:val="18"/>
      <w:szCs w:val="18"/>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unhideWhenUsed/>
    <w:qFormat/>
    <w:rPr>
      <w:rFonts w:cs="Times New Roman"/>
      <w:color w:val="954F72" w:themeColor="followedHyperlink"/>
      <w:u w:val="single"/>
    </w:rPr>
  </w:style>
  <w:style w:type="character" w:styleId="a5">
    <w:name w:val="footnote reference"/>
    <w:basedOn w:val="a1"/>
    <w:qFormat/>
    <w:rPr>
      <w:rFonts w:cs="Times New Roman"/>
      <w:vertAlign w:val="superscript"/>
    </w:rPr>
  </w:style>
  <w:style w:type="character" w:styleId="a6">
    <w:name w:val="annotation reference"/>
    <w:basedOn w:val="a1"/>
    <w:semiHidden/>
    <w:qFormat/>
    <w:rPr>
      <w:rFonts w:cs="Times New Roman"/>
      <w:sz w:val="16"/>
      <w:szCs w:val="16"/>
    </w:rPr>
  </w:style>
  <w:style w:type="character" w:styleId="a7">
    <w:name w:val="endnote reference"/>
    <w:basedOn w:val="a1"/>
    <w:uiPriority w:val="99"/>
    <w:semiHidden/>
    <w:unhideWhenUsed/>
    <w:qFormat/>
    <w:rPr>
      <w:rFonts w:cs="Times New Roman"/>
      <w:vertAlign w:val="superscript"/>
    </w:rPr>
  </w:style>
  <w:style w:type="character" w:styleId="a8">
    <w:name w:val="Emphasis"/>
    <w:basedOn w:val="a1"/>
    <w:uiPriority w:val="20"/>
    <w:qFormat/>
    <w:rPr>
      <w:rFonts w:cs="Times New Roman"/>
      <w:b/>
      <w:i/>
      <w:spacing w:val="10"/>
    </w:rPr>
  </w:style>
  <w:style w:type="character" w:styleId="a9">
    <w:name w:val="Hyperlink"/>
    <w:basedOn w:val="a1"/>
    <w:uiPriority w:val="99"/>
    <w:unhideWhenUsed/>
    <w:qFormat/>
    <w:rPr>
      <w:rFonts w:cs="Times New Roman"/>
      <w:color w:val="0563C1" w:themeColor="hyperlink"/>
      <w:u w:val="single"/>
    </w:rPr>
  </w:style>
  <w:style w:type="character" w:styleId="aa">
    <w:name w:val="page number"/>
    <w:basedOn w:val="a1"/>
    <w:qFormat/>
    <w:rPr>
      <w:rFonts w:cs="Times New Roman"/>
    </w:rPr>
  </w:style>
  <w:style w:type="character" w:styleId="ab">
    <w:name w:val="line number"/>
    <w:basedOn w:val="a1"/>
    <w:qFormat/>
    <w:rPr>
      <w:rFonts w:cs="Times New Roman"/>
    </w:rPr>
  </w:style>
  <w:style w:type="character" w:styleId="ac">
    <w:name w:val="Strong"/>
    <w:basedOn w:val="a1"/>
    <w:uiPriority w:val="22"/>
    <w:qFormat/>
    <w:rPr>
      <w:rFonts w:cs="Times New Roman"/>
      <w:b/>
      <w:bCs/>
    </w:rPr>
  </w:style>
  <w:style w:type="paragraph" w:styleId="ad">
    <w:name w:val="Balloon Text"/>
    <w:basedOn w:val="a0"/>
    <w:link w:val="ae"/>
    <w:uiPriority w:val="99"/>
    <w:semiHidden/>
    <w:unhideWhenUsed/>
    <w:qFormat/>
    <w:pPr>
      <w:spacing w:after="0" w:line="240" w:lineRule="auto"/>
    </w:pPr>
    <w:rPr>
      <w:rFonts w:ascii="Tahoma" w:hAnsi="Tahoma" w:cs="Tahoma"/>
      <w:sz w:val="16"/>
      <w:szCs w:val="16"/>
    </w:rPr>
  </w:style>
  <w:style w:type="paragraph" w:styleId="21">
    <w:name w:val="Body Text 2"/>
    <w:basedOn w:val="a0"/>
    <w:link w:val="22"/>
    <w:unhideWhenUsed/>
    <w:pPr>
      <w:spacing w:after="120" w:line="480" w:lineRule="auto"/>
    </w:pPr>
    <w:rPr>
      <w:rFonts w:ascii="Calibri" w:hAnsi="Calibri" w:cs="Calibri"/>
    </w:rPr>
  </w:style>
  <w:style w:type="paragraph" w:styleId="af">
    <w:name w:val="Plain Text"/>
    <w:basedOn w:val="a0"/>
    <w:link w:val="af0"/>
    <w:uiPriority w:val="99"/>
    <w:unhideWhenUsed/>
    <w:qFormat/>
    <w:pPr>
      <w:spacing w:after="0" w:line="240" w:lineRule="auto"/>
    </w:pPr>
    <w:rPr>
      <w:b/>
      <w:color w:val="002060"/>
      <w:sz w:val="28"/>
      <w:szCs w:val="21"/>
      <w:lang w:eastAsia="en-US"/>
    </w:rPr>
  </w:style>
  <w:style w:type="paragraph" w:styleId="31">
    <w:name w:val="Body Text Indent 3"/>
    <w:basedOn w:val="a0"/>
    <w:link w:val="32"/>
    <w:uiPriority w:val="99"/>
    <w:qFormat/>
    <w:pPr>
      <w:spacing w:after="0" w:line="240" w:lineRule="auto"/>
      <w:ind w:left="1560"/>
      <w:jc w:val="both"/>
    </w:pPr>
    <w:rPr>
      <w:sz w:val="24"/>
      <w:szCs w:val="20"/>
      <w:lang w:val="en-US" w:eastAsia="en-US"/>
    </w:rPr>
  </w:style>
  <w:style w:type="paragraph" w:styleId="af1">
    <w:name w:val="caption"/>
    <w:basedOn w:val="a0"/>
    <w:next w:val="a0"/>
    <w:uiPriority w:val="35"/>
    <w:unhideWhenUsed/>
    <w:qFormat/>
    <w:pPr>
      <w:spacing w:line="240" w:lineRule="auto"/>
    </w:pPr>
    <w:rPr>
      <w:b/>
      <w:bCs/>
      <w:color w:val="5B9BD5" w:themeColor="accent1"/>
      <w:sz w:val="18"/>
      <w:szCs w:val="18"/>
    </w:rPr>
  </w:style>
  <w:style w:type="paragraph" w:styleId="af2">
    <w:name w:val="annotation text"/>
    <w:basedOn w:val="a0"/>
    <w:link w:val="af3"/>
    <w:semiHidden/>
    <w:qFormat/>
    <w:pPr>
      <w:spacing w:after="0" w:line="240" w:lineRule="auto"/>
    </w:pPr>
    <w:rPr>
      <w:sz w:val="20"/>
      <w:szCs w:val="20"/>
    </w:rPr>
  </w:style>
  <w:style w:type="paragraph" w:styleId="af4">
    <w:name w:val="annotation subject"/>
    <w:basedOn w:val="af2"/>
    <w:next w:val="af2"/>
    <w:link w:val="af5"/>
    <w:uiPriority w:val="99"/>
    <w:semiHidden/>
    <w:unhideWhenUsed/>
    <w:qFormat/>
    <w:pPr>
      <w:spacing w:after="200"/>
    </w:pPr>
    <w:rPr>
      <w:rFonts w:eastAsiaTheme="minorHAnsi"/>
      <w:b/>
      <w:bCs/>
      <w:lang w:eastAsia="en-US"/>
    </w:rPr>
  </w:style>
  <w:style w:type="paragraph" w:styleId="af6">
    <w:name w:val="Document Map"/>
    <w:basedOn w:val="a0"/>
    <w:link w:val="af7"/>
    <w:uiPriority w:val="99"/>
    <w:semiHidden/>
    <w:unhideWhenUsed/>
    <w:qFormat/>
    <w:pPr>
      <w:spacing w:after="0" w:line="240" w:lineRule="auto"/>
    </w:pPr>
    <w:rPr>
      <w:rFonts w:ascii="Tahoma" w:hAnsi="Tahoma" w:cs="Tahoma"/>
      <w:sz w:val="16"/>
      <w:szCs w:val="16"/>
    </w:rPr>
  </w:style>
  <w:style w:type="paragraph" w:styleId="af8">
    <w:name w:val="footnote text"/>
    <w:basedOn w:val="a0"/>
    <w:link w:val="af9"/>
    <w:qFormat/>
    <w:pPr>
      <w:spacing w:after="0" w:line="240" w:lineRule="auto"/>
    </w:pPr>
    <w:rPr>
      <w:sz w:val="20"/>
      <w:szCs w:val="20"/>
    </w:rPr>
  </w:style>
  <w:style w:type="paragraph" w:styleId="afa">
    <w:name w:val="header"/>
    <w:basedOn w:val="a0"/>
    <w:link w:val="afb"/>
    <w:uiPriority w:val="99"/>
    <w:unhideWhenUsed/>
    <w:qFormat/>
    <w:pPr>
      <w:tabs>
        <w:tab w:val="center" w:pos="4677"/>
        <w:tab w:val="right" w:pos="9355"/>
      </w:tabs>
      <w:spacing w:after="0" w:line="240" w:lineRule="auto"/>
    </w:pPr>
  </w:style>
  <w:style w:type="paragraph" w:styleId="afc">
    <w:name w:val="Body Text"/>
    <w:basedOn w:val="a0"/>
    <w:link w:val="afd"/>
    <w:uiPriority w:val="99"/>
    <w:unhideWhenUsed/>
    <w:qFormat/>
    <w:pPr>
      <w:spacing w:after="120"/>
    </w:pPr>
  </w:style>
  <w:style w:type="paragraph" w:styleId="11">
    <w:name w:val="toc 1"/>
    <w:basedOn w:val="a0"/>
    <w:next w:val="a0"/>
    <w:autoRedefine/>
    <w:uiPriority w:val="39"/>
    <w:unhideWhenUsed/>
    <w:qFormat/>
    <w:pPr>
      <w:tabs>
        <w:tab w:val="right" w:leader="dot" w:pos="9968"/>
      </w:tabs>
      <w:spacing w:after="100"/>
      <w:jc w:val="left"/>
    </w:pPr>
  </w:style>
  <w:style w:type="paragraph" w:styleId="33">
    <w:name w:val="toc 3"/>
    <w:basedOn w:val="a0"/>
    <w:next w:val="a0"/>
    <w:autoRedefine/>
    <w:uiPriority w:val="39"/>
    <w:unhideWhenUsed/>
    <w:qFormat/>
    <w:pPr>
      <w:spacing w:after="100"/>
      <w:ind w:left="440"/>
    </w:pPr>
  </w:style>
  <w:style w:type="paragraph" w:styleId="23">
    <w:name w:val="toc 2"/>
    <w:basedOn w:val="a0"/>
    <w:next w:val="a0"/>
    <w:autoRedefine/>
    <w:uiPriority w:val="39"/>
    <w:unhideWhenUsed/>
    <w:qFormat/>
    <w:pPr>
      <w:spacing w:after="100"/>
      <w:ind w:left="220"/>
    </w:pPr>
  </w:style>
  <w:style w:type="paragraph" w:styleId="afe">
    <w:name w:val="Body Text Indent"/>
    <w:basedOn w:val="a0"/>
    <w:link w:val="aff"/>
    <w:uiPriority w:val="99"/>
    <w:unhideWhenUsed/>
    <w:qFormat/>
    <w:pPr>
      <w:spacing w:after="120" w:line="240" w:lineRule="auto"/>
      <w:ind w:left="283"/>
      <w:jc w:val="center"/>
    </w:pPr>
    <w:rPr>
      <w:lang w:eastAsia="en-US"/>
    </w:rPr>
  </w:style>
  <w:style w:type="paragraph" w:styleId="aff0">
    <w:name w:val="Title"/>
    <w:basedOn w:val="a0"/>
    <w:link w:val="aff1"/>
    <w:qFormat/>
    <w:pPr>
      <w:spacing w:after="0" w:line="240" w:lineRule="auto"/>
      <w:jc w:val="center"/>
    </w:pPr>
    <w:rPr>
      <w:sz w:val="24"/>
      <w:szCs w:val="20"/>
    </w:rPr>
  </w:style>
  <w:style w:type="paragraph" w:styleId="aff2">
    <w:name w:val="footer"/>
    <w:basedOn w:val="a0"/>
    <w:link w:val="aff3"/>
    <w:uiPriority w:val="99"/>
    <w:unhideWhenUsed/>
    <w:qFormat/>
    <w:pPr>
      <w:tabs>
        <w:tab w:val="center" w:pos="4677"/>
        <w:tab w:val="right" w:pos="9355"/>
      </w:tabs>
      <w:spacing w:after="0" w:line="240" w:lineRule="auto"/>
    </w:pPr>
  </w:style>
  <w:style w:type="paragraph" w:styleId="aff4">
    <w:name w:val="Normal (Web)"/>
    <w:basedOn w:val="a0"/>
    <w:uiPriority w:val="99"/>
    <w:qFormat/>
    <w:pPr>
      <w:spacing w:before="100" w:beforeAutospacing="1" w:after="100" w:afterAutospacing="1" w:line="240" w:lineRule="auto"/>
    </w:pPr>
    <w:rPr>
      <w:sz w:val="24"/>
      <w:szCs w:val="24"/>
    </w:rPr>
  </w:style>
  <w:style w:type="paragraph" w:styleId="34">
    <w:name w:val="Body Text 3"/>
    <w:basedOn w:val="a0"/>
    <w:link w:val="35"/>
    <w:qFormat/>
    <w:pPr>
      <w:spacing w:after="120" w:line="240" w:lineRule="auto"/>
      <w:jc w:val="left"/>
    </w:pPr>
    <w:rPr>
      <w:sz w:val="16"/>
      <w:szCs w:val="16"/>
      <w:lang w:val="en-US" w:eastAsia="en-US"/>
    </w:rPr>
  </w:style>
  <w:style w:type="paragraph" w:styleId="24">
    <w:name w:val="Body Text Indent 2"/>
    <w:basedOn w:val="a0"/>
    <w:link w:val="25"/>
    <w:qFormat/>
    <w:pPr>
      <w:spacing w:after="0" w:line="240" w:lineRule="auto"/>
      <w:ind w:left="2100"/>
      <w:jc w:val="both"/>
    </w:pPr>
    <w:rPr>
      <w:sz w:val="24"/>
      <w:szCs w:val="20"/>
      <w:lang w:val="en-US" w:eastAsia="en-US"/>
    </w:rPr>
  </w:style>
  <w:style w:type="paragraph" w:styleId="aff5">
    <w:name w:val="Subtitle"/>
    <w:basedOn w:val="a0"/>
    <w:next w:val="a0"/>
    <w:link w:val="aff6"/>
    <w:uiPriority w:val="11"/>
    <w:qFormat/>
    <w:rPr>
      <w:rFonts w:asciiTheme="majorHAnsi" w:eastAsiaTheme="majorEastAsia" w:hAnsiTheme="majorHAnsi"/>
      <w:i/>
      <w:iCs/>
      <w:color w:val="5B9BD5" w:themeColor="accent1"/>
      <w:spacing w:val="15"/>
      <w:sz w:val="24"/>
      <w:szCs w:val="24"/>
    </w:rPr>
  </w:style>
  <w:style w:type="paragraph" w:styleId="aff7">
    <w:name w:val="Block Text"/>
    <w:basedOn w:val="a0"/>
    <w:qFormat/>
    <w:pPr>
      <w:spacing w:after="0" w:line="240" w:lineRule="auto"/>
      <w:ind w:left="720" w:right="720" w:hanging="12"/>
      <w:jc w:val="left"/>
    </w:pPr>
    <w:rPr>
      <w:sz w:val="24"/>
      <w:szCs w:val="28"/>
      <w:lang w:val="en-US" w:eastAsia="en-US"/>
    </w:rPr>
  </w:style>
  <w:style w:type="table" w:styleId="aff8">
    <w:name w:val="Table Grid"/>
    <w:basedOn w:val="a2"/>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2">
    <w:name w:val="Table Web 2"/>
    <w:basedOn w:val="a2"/>
    <w:uiPriority w:val="99"/>
    <w:qFormat/>
    <w:pPr>
      <w:jc w:val="righ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il"/>
          <w:tr2bl w:val="nil"/>
        </w:tcBorders>
      </w:tcPr>
    </w:tblStylePr>
  </w:style>
  <w:style w:type="character" w:customStyle="1" w:styleId="10">
    <w:name w:val="Заголовок 1 Знак"/>
    <w:basedOn w:val="a1"/>
    <w:link w:val="1"/>
    <w:qFormat/>
    <w:locked/>
    <w:rPr>
      <w:rFonts w:ascii="Times New Roman" w:hAnsi="Times New Roman"/>
      <w:b/>
      <w:bCs/>
      <w:color w:val="C45911" w:themeColor="accent2" w:themeShade="BF"/>
      <w:sz w:val="28"/>
      <w:szCs w:val="28"/>
    </w:rPr>
  </w:style>
  <w:style w:type="character" w:customStyle="1" w:styleId="20">
    <w:name w:val="Заголовок 2 Знак"/>
    <w:basedOn w:val="a1"/>
    <w:link w:val="2"/>
    <w:uiPriority w:val="9"/>
    <w:qFormat/>
    <w:locked/>
    <w:rPr>
      <w:rFonts w:asciiTheme="majorHAnsi" w:eastAsiaTheme="majorEastAsia" w:hAnsiTheme="majorHAnsi" w:cs="Times New Roman"/>
      <w:b/>
      <w:bCs/>
      <w:color w:val="5B9BD5" w:themeColor="accent1"/>
      <w:sz w:val="26"/>
      <w:szCs w:val="26"/>
    </w:rPr>
  </w:style>
  <w:style w:type="character" w:customStyle="1" w:styleId="30">
    <w:name w:val="Заголовок 3 Знак"/>
    <w:basedOn w:val="a1"/>
    <w:link w:val="3"/>
    <w:uiPriority w:val="9"/>
    <w:qFormat/>
    <w:locked/>
    <w:rPr>
      <w:rFonts w:asciiTheme="majorHAnsi" w:eastAsiaTheme="majorEastAsia" w:hAnsiTheme="majorHAnsi" w:cs="Times New Roman"/>
      <w:b/>
      <w:bCs/>
      <w:color w:val="5B9BD5" w:themeColor="accent1"/>
    </w:rPr>
  </w:style>
  <w:style w:type="character" w:customStyle="1" w:styleId="40">
    <w:name w:val="Заголовок 4 Знак"/>
    <w:basedOn w:val="a1"/>
    <w:link w:val="4"/>
    <w:qFormat/>
    <w:locked/>
    <w:rPr>
      <w:rFonts w:ascii="Times New Roman" w:hAnsi="Times New Roman" w:cs="Times New Roman"/>
      <w:b/>
      <w:i/>
      <w:sz w:val="20"/>
      <w:szCs w:val="20"/>
    </w:rPr>
  </w:style>
  <w:style w:type="character" w:customStyle="1" w:styleId="50">
    <w:name w:val="Заголовок 5 Знак"/>
    <w:basedOn w:val="a1"/>
    <w:link w:val="5"/>
    <w:qFormat/>
    <w:locked/>
    <w:rPr>
      <w:rFonts w:ascii="Times New Roman" w:hAnsi="Times New Roman" w:cs="Times New Roman"/>
      <w:b/>
      <w:sz w:val="24"/>
      <w:szCs w:val="24"/>
    </w:rPr>
  </w:style>
  <w:style w:type="character" w:customStyle="1" w:styleId="60">
    <w:name w:val="Заголовок 6 Знак"/>
    <w:basedOn w:val="a1"/>
    <w:link w:val="6"/>
    <w:uiPriority w:val="9"/>
    <w:qFormat/>
    <w:locked/>
    <w:rPr>
      <w:rFonts w:asciiTheme="majorHAnsi" w:eastAsiaTheme="majorEastAsia" w:hAnsiTheme="majorHAnsi" w:cs="Times New Roman"/>
      <w:b/>
      <w:bCs/>
      <w:color w:val="595959" w:themeColor="text1" w:themeTint="A6"/>
      <w:spacing w:val="5"/>
      <w:shd w:val="clear" w:color="auto" w:fill="FFFFFF" w:themeFill="background1"/>
      <w:lang w:val="en-US" w:eastAsia="en-US"/>
    </w:rPr>
  </w:style>
  <w:style w:type="character" w:customStyle="1" w:styleId="70">
    <w:name w:val="Заголовок 7 Знак"/>
    <w:basedOn w:val="a1"/>
    <w:link w:val="7"/>
    <w:uiPriority w:val="9"/>
    <w:locked/>
    <w:rPr>
      <w:rFonts w:asciiTheme="majorHAnsi" w:eastAsiaTheme="majorEastAsia" w:hAnsiTheme="majorHAnsi" w:cs="Times New Roman"/>
      <w:b/>
      <w:bCs/>
      <w:i/>
      <w:iCs/>
      <w:color w:val="595959" w:themeColor="text1" w:themeTint="A6"/>
      <w:sz w:val="20"/>
      <w:szCs w:val="20"/>
      <w:lang w:val="en-US" w:eastAsia="en-US"/>
    </w:rPr>
  </w:style>
  <w:style w:type="character" w:customStyle="1" w:styleId="80">
    <w:name w:val="Заголовок 8 Знак"/>
    <w:basedOn w:val="a1"/>
    <w:link w:val="8"/>
    <w:uiPriority w:val="9"/>
    <w:qFormat/>
    <w:locked/>
    <w:rPr>
      <w:rFonts w:asciiTheme="majorHAnsi" w:eastAsiaTheme="majorEastAsia" w:hAnsiTheme="majorHAnsi" w:cs="Times New Roman"/>
      <w:b/>
      <w:bCs/>
      <w:color w:val="7F7F7F" w:themeColor="text1" w:themeTint="80"/>
      <w:sz w:val="20"/>
      <w:szCs w:val="20"/>
      <w:lang w:val="en-US" w:eastAsia="en-US"/>
    </w:rPr>
  </w:style>
  <w:style w:type="character" w:customStyle="1" w:styleId="90">
    <w:name w:val="Заголовок 9 Знак"/>
    <w:basedOn w:val="a1"/>
    <w:link w:val="9"/>
    <w:uiPriority w:val="9"/>
    <w:qFormat/>
    <w:locked/>
    <w:rPr>
      <w:rFonts w:asciiTheme="majorHAnsi" w:eastAsiaTheme="majorEastAsia" w:hAnsiTheme="majorHAnsi" w:cs="Times New Roman"/>
      <w:b/>
      <w:bCs/>
      <w:i/>
      <w:iCs/>
      <w:color w:val="7F7F7F" w:themeColor="text1" w:themeTint="80"/>
      <w:sz w:val="18"/>
      <w:szCs w:val="18"/>
      <w:lang w:val="en-US" w:eastAsia="en-US"/>
    </w:rPr>
  </w:style>
  <w:style w:type="paragraph" w:styleId="aff9">
    <w:name w:val="No Spacing"/>
    <w:link w:val="affa"/>
    <w:uiPriority w:val="1"/>
    <w:qFormat/>
    <w:rPr>
      <w:sz w:val="22"/>
      <w:szCs w:val="22"/>
      <w:lang w:eastAsia="en-US"/>
    </w:rPr>
  </w:style>
  <w:style w:type="character" w:customStyle="1" w:styleId="affa">
    <w:name w:val="Без интервала Знак"/>
    <w:basedOn w:val="a1"/>
    <w:link w:val="aff9"/>
    <w:uiPriority w:val="1"/>
    <w:qFormat/>
    <w:locked/>
    <w:rPr>
      <w:rFonts w:cs="Times New Roman"/>
      <w:lang w:eastAsia="en-US"/>
    </w:rPr>
  </w:style>
  <w:style w:type="character" w:customStyle="1" w:styleId="ae">
    <w:name w:val="Текст выноски Знак"/>
    <w:basedOn w:val="a1"/>
    <w:link w:val="ad"/>
    <w:uiPriority w:val="99"/>
    <w:semiHidden/>
    <w:qFormat/>
    <w:locked/>
    <w:rPr>
      <w:rFonts w:ascii="Tahoma" w:hAnsi="Tahoma" w:cs="Tahoma"/>
      <w:sz w:val="16"/>
      <w:szCs w:val="16"/>
    </w:rPr>
  </w:style>
  <w:style w:type="paragraph" w:customStyle="1" w:styleId="12">
    <w:name w:val="Заголовок оглавления1"/>
    <w:basedOn w:val="1"/>
    <w:next w:val="a0"/>
    <w:uiPriority w:val="39"/>
    <w:unhideWhenUsed/>
    <w:qFormat/>
    <w:pPr>
      <w:outlineLvl w:val="9"/>
    </w:pPr>
    <w:rPr>
      <w:lang w:eastAsia="en-US"/>
    </w:rPr>
  </w:style>
  <w:style w:type="character" w:customStyle="1" w:styleId="aff6">
    <w:name w:val="Подзаголовок Знак"/>
    <w:basedOn w:val="a1"/>
    <w:link w:val="aff5"/>
    <w:uiPriority w:val="11"/>
    <w:qFormat/>
    <w:locked/>
    <w:rPr>
      <w:rFonts w:asciiTheme="majorHAnsi" w:eastAsiaTheme="majorEastAsia" w:hAnsiTheme="majorHAnsi" w:cs="Times New Roman"/>
      <w:i/>
      <w:iCs/>
      <w:color w:val="5B9BD5" w:themeColor="accent1"/>
      <w:spacing w:val="15"/>
      <w:sz w:val="24"/>
      <w:szCs w:val="24"/>
    </w:rPr>
  </w:style>
  <w:style w:type="character" w:customStyle="1" w:styleId="aff">
    <w:name w:val="Основной текст с отступом Знак"/>
    <w:basedOn w:val="a1"/>
    <w:link w:val="afe"/>
    <w:uiPriority w:val="99"/>
    <w:qFormat/>
    <w:locked/>
    <w:rPr>
      <w:rFonts w:eastAsia="Times New Roman" w:cs="Times New Roman"/>
      <w:lang w:eastAsia="en-US"/>
    </w:rPr>
  </w:style>
  <w:style w:type="paragraph" w:customStyle="1" w:styleId="ConsPlusTitle">
    <w:name w:val="ConsPlusTitle"/>
    <w:uiPriority w:val="99"/>
    <w:qFormat/>
    <w:pPr>
      <w:autoSpaceDE w:val="0"/>
      <w:autoSpaceDN w:val="0"/>
      <w:adjustRightInd w:val="0"/>
    </w:pPr>
    <w:rPr>
      <w:rFonts w:ascii="Arial" w:hAnsi="Arial" w:cs="Arial"/>
      <w:b/>
      <w:bCs/>
    </w:rPr>
  </w:style>
  <w:style w:type="paragraph" w:customStyle="1" w:styleId="ConsPlusNormal">
    <w:name w:val="ConsPlusNormal"/>
    <w:link w:val="ConsPlusNormal0"/>
    <w:qFormat/>
    <w:pPr>
      <w:autoSpaceDE w:val="0"/>
      <w:autoSpaceDN w:val="0"/>
      <w:adjustRightInd w:val="0"/>
      <w:ind w:firstLine="720"/>
    </w:pPr>
    <w:rPr>
      <w:rFonts w:ascii="Arial" w:hAnsi="Arial" w:cs="Arial"/>
    </w:rPr>
  </w:style>
  <w:style w:type="character" w:customStyle="1" w:styleId="ConsPlusNormal0">
    <w:name w:val="ConsPlusNormal Знак"/>
    <w:link w:val="ConsPlusNormal"/>
    <w:locked/>
    <w:rPr>
      <w:rFonts w:ascii="Arial" w:hAnsi="Arial"/>
      <w:sz w:val="20"/>
    </w:rPr>
  </w:style>
  <w:style w:type="character" w:customStyle="1" w:styleId="22">
    <w:name w:val="Основной текст 2 Знак"/>
    <w:basedOn w:val="a1"/>
    <w:link w:val="21"/>
    <w:qFormat/>
    <w:locked/>
    <w:rPr>
      <w:rFonts w:ascii="Calibri" w:hAnsi="Calibri" w:cs="Calibri"/>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26">
    <w:name w:val="Основной текст (2)_"/>
    <w:basedOn w:val="a1"/>
    <w:link w:val="27"/>
    <w:qFormat/>
    <w:locked/>
    <w:rPr>
      <w:rFonts w:ascii="Times New Roman" w:hAnsi="Times New Roman" w:cs="Times New Roman"/>
      <w:sz w:val="23"/>
      <w:szCs w:val="23"/>
      <w:shd w:val="clear" w:color="auto" w:fill="FFFFFF"/>
    </w:rPr>
  </w:style>
  <w:style w:type="paragraph" w:customStyle="1" w:styleId="27">
    <w:name w:val="Основной текст (2)"/>
    <w:basedOn w:val="a0"/>
    <w:link w:val="26"/>
    <w:qFormat/>
    <w:pPr>
      <w:shd w:val="clear" w:color="auto" w:fill="FFFFFF"/>
      <w:spacing w:after="0" w:line="278" w:lineRule="exact"/>
      <w:jc w:val="left"/>
    </w:pPr>
    <w:rPr>
      <w:sz w:val="28"/>
      <w:szCs w:val="23"/>
    </w:rPr>
  </w:style>
  <w:style w:type="paragraph" w:styleId="affb">
    <w:name w:val="List Paragraph"/>
    <w:basedOn w:val="a0"/>
    <w:link w:val="affc"/>
    <w:uiPriority w:val="34"/>
    <w:qFormat/>
    <w:pPr>
      <w:ind w:left="720"/>
      <w:contextualSpacing/>
    </w:pPr>
  </w:style>
  <w:style w:type="character" w:customStyle="1" w:styleId="afb">
    <w:name w:val="Верхний колонтитул Знак"/>
    <w:basedOn w:val="a1"/>
    <w:link w:val="afa"/>
    <w:uiPriority w:val="99"/>
    <w:qFormat/>
    <w:locked/>
    <w:rPr>
      <w:rFonts w:cs="Times New Roman"/>
    </w:rPr>
  </w:style>
  <w:style w:type="character" w:customStyle="1" w:styleId="aff3">
    <w:name w:val="Нижний колонтитул Знак"/>
    <w:basedOn w:val="a1"/>
    <w:link w:val="aff2"/>
    <w:uiPriority w:val="99"/>
    <w:qFormat/>
    <w:locked/>
    <w:rPr>
      <w:rFonts w:cs="Times New Roman"/>
    </w:rPr>
  </w:style>
  <w:style w:type="paragraph" w:customStyle="1" w:styleId="ConsPlusCell">
    <w:name w:val="ConsPlusCell"/>
    <w:uiPriority w:val="99"/>
    <w:qFormat/>
    <w:pPr>
      <w:widowControl w:val="0"/>
      <w:autoSpaceDE w:val="0"/>
      <w:autoSpaceDN w:val="0"/>
      <w:adjustRightInd w:val="0"/>
    </w:pPr>
    <w:rPr>
      <w:rFonts w:ascii="Arial" w:hAnsi="Arial" w:cs="Arial"/>
    </w:rPr>
  </w:style>
  <w:style w:type="paragraph" w:customStyle="1" w:styleId="ConsPlusNonformat">
    <w:name w:val="ConsPlusNonformat"/>
    <w:pPr>
      <w:autoSpaceDE w:val="0"/>
      <w:autoSpaceDN w:val="0"/>
      <w:adjustRightInd w:val="0"/>
    </w:pPr>
    <w:rPr>
      <w:rFonts w:ascii="Courier New" w:hAnsi="Courier New" w:cs="Courier New"/>
    </w:rPr>
  </w:style>
  <w:style w:type="paragraph" w:customStyle="1" w:styleId="13">
    <w:name w:val="Абзац списка1"/>
    <w:basedOn w:val="a0"/>
    <w:uiPriority w:val="99"/>
    <w:qFormat/>
    <w:pPr>
      <w:ind w:left="720"/>
    </w:pPr>
    <w:rPr>
      <w:rFonts w:ascii="Calibri" w:hAnsi="Calibri" w:cs="Calibri"/>
    </w:rPr>
  </w:style>
  <w:style w:type="character" w:customStyle="1" w:styleId="textdefault">
    <w:name w:val="text_default"/>
    <w:qFormat/>
  </w:style>
  <w:style w:type="character" w:customStyle="1" w:styleId="affd">
    <w:name w:val="Основной текст_"/>
    <w:basedOn w:val="a1"/>
    <w:link w:val="14"/>
    <w:qFormat/>
    <w:locked/>
    <w:rPr>
      <w:rFonts w:ascii="Times New Roman" w:hAnsi="Times New Roman" w:cs="Times New Roman"/>
      <w:sz w:val="23"/>
      <w:szCs w:val="23"/>
      <w:shd w:val="clear" w:color="auto" w:fill="FFFFFF"/>
    </w:rPr>
  </w:style>
  <w:style w:type="paragraph" w:customStyle="1" w:styleId="14">
    <w:name w:val="Основной текст1"/>
    <w:basedOn w:val="a0"/>
    <w:link w:val="affd"/>
    <w:qFormat/>
    <w:pPr>
      <w:shd w:val="clear" w:color="auto" w:fill="FFFFFF"/>
      <w:spacing w:after="0" w:line="240" w:lineRule="atLeast"/>
    </w:pPr>
    <w:rPr>
      <w:sz w:val="23"/>
      <w:szCs w:val="23"/>
    </w:rPr>
  </w:style>
  <w:style w:type="character" w:customStyle="1" w:styleId="affe">
    <w:name w:val="Основной текст + Не курсив"/>
    <w:basedOn w:val="affd"/>
    <w:qFormat/>
    <w:rPr>
      <w:rFonts w:ascii="Times New Roman" w:hAnsi="Times New Roman" w:cs="Times New Roman"/>
      <w:i/>
      <w:iCs/>
      <w:spacing w:val="0"/>
      <w:sz w:val="23"/>
      <w:szCs w:val="23"/>
      <w:shd w:val="clear" w:color="auto" w:fill="FFFFFF"/>
    </w:rPr>
  </w:style>
  <w:style w:type="character" w:customStyle="1" w:styleId="CharStyle8">
    <w:name w:val="Char Style 8"/>
    <w:qFormat/>
    <w:rPr>
      <w:b/>
      <w:sz w:val="27"/>
      <w:lang w:eastAsia="ar-SA" w:bidi="ar-SA"/>
    </w:rPr>
  </w:style>
  <w:style w:type="paragraph" w:customStyle="1" w:styleId="afff">
    <w:name w:val="ХМАО"/>
    <w:basedOn w:val="a0"/>
    <w:link w:val="afff0"/>
    <w:qFormat/>
    <w:pPr>
      <w:spacing w:after="0" w:line="240" w:lineRule="auto"/>
      <w:ind w:firstLine="709"/>
      <w:jc w:val="both"/>
    </w:pPr>
    <w:rPr>
      <w:rFonts w:ascii="Calibri" w:hAnsi="Calibri"/>
      <w:lang w:eastAsia="en-US"/>
    </w:rPr>
  </w:style>
  <w:style w:type="character" w:customStyle="1" w:styleId="afff0">
    <w:name w:val="ХМАО Знак"/>
    <w:link w:val="afff"/>
    <w:qFormat/>
    <w:locked/>
    <w:rPr>
      <w:rFonts w:ascii="Calibri" w:hAnsi="Calibri"/>
      <w:lang w:eastAsia="en-US"/>
    </w:rPr>
  </w:style>
  <w:style w:type="paragraph" w:customStyle="1" w:styleId="a">
    <w:name w:val="Нумерованный абзац"/>
    <w:qFormat/>
    <w:pPr>
      <w:numPr>
        <w:numId w:val="1"/>
      </w:numPr>
      <w:tabs>
        <w:tab w:val="left" w:pos="1134"/>
      </w:tabs>
      <w:suppressAutoHyphens/>
      <w:spacing w:before="240"/>
      <w:jc w:val="both"/>
    </w:pPr>
    <w:rPr>
      <w:rFonts w:ascii="Times New Roman" w:hAnsi="Times New Roman"/>
      <w:sz w:val="28"/>
    </w:rPr>
  </w:style>
  <w:style w:type="character" w:customStyle="1" w:styleId="220">
    <w:name w:val="Заголовок №2 (2)_"/>
    <w:basedOn w:val="a1"/>
    <w:link w:val="221"/>
    <w:qFormat/>
    <w:locked/>
    <w:rPr>
      <w:rFonts w:ascii="Times New Roman" w:hAnsi="Times New Roman" w:cs="Times New Roman"/>
      <w:sz w:val="23"/>
      <w:szCs w:val="23"/>
      <w:shd w:val="clear" w:color="auto" w:fill="FFFFFF"/>
    </w:rPr>
  </w:style>
  <w:style w:type="paragraph" w:customStyle="1" w:styleId="221">
    <w:name w:val="Заголовок №2 (2)"/>
    <w:basedOn w:val="a0"/>
    <w:link w:val="220"/>
    <w:qFormat/>
    <w:pPr>
      <w:shd w:val="clear" w:color="auto" w:fill="FFFFFF"/>
      <w:spacing w:before="240" w:after="300" w:line="240" w:lineRule="atLeast"/>
      <w:outlineLvl w:val="1"/>
    </w:pPr>
    <w:rPr>
      <w:sz w:val="23"/>
      <w:szCs w:val="23"/>
    </w:rPr>
  </w:style>
  <w:style w:type="character" w:customStyle="1" w:styleId="aff1">
    <w:name w:val="Заголовок Знак"/>
    <w:basedOn w:val="a1"/>
    <w:link w:val="aff0"/>
    <w:qFormat/>
    <w:locked/>
    <w:rPr>
      <w:rFonts w:ascii="Times New Roman" w:hAnsi="Times New Roman" w:cs="Times New Roman"/>
      <w:sz w:val="20"/>
      <w:szCs w:val="20"/>
    </w:rPr>
  </w:style>
  <w:style w:type="character" w:customStyle="1" w:styleId="af3">
    <w:name w:val="Текст примечания Знак"/>
    <w:basedOn w:val="a1"/>
    <w:link w:val="af2"/>
    <w:semiHidden/>
    <w:qFormat/>
    <w:locked/>
    <w:rPr>
      <w:rFonts w:ascii="Times New Roman" w:hAnsi="Times New Roman" w:cs="Times New Roman"/>
      <w:sz w:val="20"/>
      <w:szCs w:val="20"/>
    </w:rPr>
  </w:style>
  <w:style w:type="character" w:customStyle="1" w:styleId="15">
    <w:name w:val="Текст примечания Знак1"/>
    <w:basedOn w:val="a1"/>
    <w:uiPriority w:val="99"/>
    <w:semiHidden/>
    <w:qFormat/>
    <w:rPr>
      <w:rFonts w:ascii="Times New Roman" w:hAnsi="Times New Roman"/>
      <w:sz w:val="20"/>
      <w:szCs w:val="20"/>
    </w:rPr>
  </w:style>
  <w:style w:type="character" w:customStyle="1" w:styleId="140">
    <w:name w:val="Текст примечания Знак14"/>
    <w:basedOn w:val="a1"/>
    <w:uiPriority w:val="99"/>
    <w:semiHidden/>
    <w:qFormat/>
    <w:rPr>
      <w:rFonts w:ascii="Times New Roman" w:hAnsi="Times New Roman" w:cs="Times New Roman"/>
      <w:sz w:val="20"/>
      <w:szCs w:val="20"/>
    </w:rPr>
  </w:style>
  <w:style w:type="character" w:customStyle="1" w:styleId="130">
    <w:name w:val="Текст примечания Знак13"/>
    <w:basedOn w:val="a1"/>
    <w:uiPriority w:val="99"/>
    <w:semiHidden/>
    <w:qFormat/>
    <w:rPr>
      <w:rFonts w:ascii="Times New Roman" w:hAnsi="Times New Roman" w:cs="Times New Roman"/>
      <w:sz w:val="20"/>
      <w:szCs w:val="20"/>
    </w:rPr>
  </w:style>
  <w:style w:type="character" w:customStyle="1" w:styleId="120">
    <w:name w:val="Текст примечания Знак12"/>
    <w:basedOn w:val="a1"/>
    <w:uiPriority w:val="99"/>
    <w:semiHidden/>
    <w:qFormat/>
    <w:rPr>
      <w:rFonts w:ascii="Times New Roman" w:hAnsi="Times New Roman" w:cs="Times New Roman"/>
      <w:sz w:val="20"/>
      <w:szCs w:val="20"/>
    </w:rPr>
  </w:style>
  <w:style w:type="character" w:customStyle="1" w:styleId="110">
    <w:name w:val="Текст примечания Знак11"/>
    <w:basedOn w:val="a1"/>
    <w:uiPriority w:val="99"/>
    <w:semiHidden/>
    <w:qFormat/>
    <w:rPr>
      <w:rFonts w:cs="Times New Roman"/>
      <w:sz w:val="20"/>
      <w:szCs w:val="20"/>
    </w:rPr>
  </w:style>
  <w:style w:type="paragraph" w:customStyle="1" w:styleId="CharCarChar">
    <w:name w:val="Char Car Char"/>
    <w:basedOn w:val="a0"/>
    <w:qFormat/>
    <w:pPr>
      <w:spacing w:after="160" w:line="240" w:lineRule="exact"/>
    </w:pPr>
    <w:rPr>
      <w:rFonts w:ascii="Verdana" w:hAnsi="Verdana" w:cs="Verdana"/>
      <w:sz w:val="20"/>
      <w:szCs w:val="20"/>
      <w:lang w:val="en-US" w:eastAsia="en-US"/>
    </w:rPr>
  </w:style>
  <w:style w:type="character" w:customStyle="1" w:styleId="apple-style-span">
    <w:name w:val="apple-style-span"/>
    <w:basedOn w:val="a1"/>
    <w:qFormat/>
    <w:rPr>
      <w:rFonts w:cs="Times New Roman"/>
    </w:rPr>
  </w:style>
  <w:style w:type="table" w:customStyle="1" w:styleId="16">
    <w:name w:val="Сетка таблицы1"/>
    <w:basedOn w:val="a2"/>
    <w:uiPriority w:val="59"/>
    <w:qFormat/>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uiPriority w:val="59"/>
    <w:qFormat/>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Всегда"/>
    <w:basedOn w:val="a0"/>
    <w:autoRedefine/>
    <w:qFormat/>
    <w:pPr>
      <w:tabs>
        <w:tab w:val="left" w:pos="1701"/>
      </w:tabs>
      <w:spacing w:after="0" w:line="240" w:lineRule="auto"/>
      <w:jc w:val="center"/>
    </w:pPr>
    <w:rPr>
      <w:color w:val="000000" w:themeColor="text1"/>
      <w:sz w:val="24"/>
      <w:szCs w:val="24"/>
      <w:lang w:eastAsia="en-US"/>
    </w:rPr>
  </w:style>
  <w:style w:type="character" w:customStyle="1" w:styleId="afd">
    <w:name w:val="Основной текст Знак"/>
    <w:basedOn w:val="a1"/>
    <w:link w:val="afc"/>
    <w:uiPriority w:val="99"/>
    <w:qFormat/>
    <w:locked/>
    <w:rPr>
      <w:rFonts w:cs="Times New Roman"/>
    </w:rPr>
  </w:style>
  <w:style w:type="paragraph" w:customStyle="1" w:styleId="29">
    <w:name w:val="Абзац списка2"/>
    <w:basedOn w:val="a0"/>
    <w:qFormat/>
    <w:pPr>
      <w:spacing w:after="0" w:line="240" w:lineRule="auto"/>
      <w:ind w:left="720"/>
    </w:pPr>
    <w:rPr>
      <w:rFonts w:ascii="Calibri" w:hAnsi="Calibri" w:cs="Calibri"/>
      <w:lang w:eastAsia="en-US"/>
    </w:rPr>
  </w:style>
  <w:style w:type="character" w:customStyle="1" w:styleId="af9">
    <w:name w:val="Текст сноски Знак"/>
    <w:basedOn w:val="a1"/>
    <w:link w:val="af8"/>
    <w:qFormat/>
    <w:locked/>
    <w:rPr>
      <w:rFonts w:ascii="Times New Roman" w:hAnsi="Times New Roman" w:cs="Times New Roman"/>
      <w:sz w:val="20"/>
      <w:szCs w:val="20"/>
    </w:rPr>
  </w:style>
  <w:style w:type="paragraph" w:customStyle="1" w:styleId="37">
    <w:name w:val="Абзац списка3"/>
    <w:basedOn w:val="a0"/>
    <w:qFormat/>
    <w:pPr>
      <w:spacing w:after="0" w:line="240" w:lineRule="auto"/>
      <w:ind w:left="720"/>
    </w:pPr>
    <w:rPr>
      <w:rFonts w:ascii="Calibri" w:hAnsi="Calibri" w:cs="Calibri"/>
      <w:lang w:eastAsia="en-US"/>
    </w:rPr>
  </w:style>
  <w:style w:type="paragraph" w:customStyle="1" w:styleId="42">
    <w:name w:val="Абзац списка4"/>
    <w:basedOn w:val="a0"/>
    <w:link w:val="ListParagraphChar"/>
    <w:qFormat/>
    <w:pPr>
      <w:ind w:left="720"/>
    </w:pPr>
    <w:rPr>
      <w:rFonts w:ascii="Cambria" w:hAnsi="Cambria"/>
      <w:sz w:val="20"/>
      <w:szCs w:val="20"/>
      <w:lang w:val="en-US"/>
    </w:rPr>
  </w:style>
  <w:style w:type="character" w:customStyle="1" w:styleId="ListParagraphChar">
    <w:name w:val="List Paragraph Char"/>
    <w:link w:val="42"/>
    <w:qFormat/>
    <w:locked/>
    <w:rPr>
      <w:rFonts w:ascii="Cambria" w:hAnsi="Cambria"/>
      <w:sz w:val="20"/>
      <w:lang w:val="en-US"/>
    </w:rPr>
  </w:style>
  <w:style w:type="character" w:customStyle="1" w:styleId="af7">
    <w:name w:val="Схема документа Знак"/>
    <w:basedOn w:val="a1"/>
    <w:link w:val="af6"/>
    <w:uiPriority w:val="99"/>
    <w:semiHidden/>
    <w:qFormat/>
    <w:locked/>
    <w:rPr>
      <w:rFonts w:ascii="Tahoma" w:hAnsi="Tahoma" w:cs="Tahoma"/>
      <w:sz w:val="16"/>
      <w:szCs w:val="16"/>
    </w:rPr>
  </w:style>
  <w:style w:type="character" w:customStyle="1" w:styleId="affc">
    <w:name w:val="Абзац списка Знак"/>
    <w:link w:val="affb"/>
    <w:uiPriority w:val="34"/>
    <w:qFormat/>
    <w:locked/>
  </w:style>
  <w:style w:type="paragraph" w:customStyle="1" w:styleId="52">
    <w:name w:val="Абзац списка5"/>
    <w:basedOn w:val="a0"/>
    <w:qFormat/>
    <w:pPr>
      <w:ind w:left="720"/>
    </w:pPr>
    <w:rPr>
      <w:rFonts w:ascii="Cambria" w:hAnsi="Cambria"/>
      <w:sz w:val="20"/>
      <w:szCs w:val="20"/>
      <w:lang w:val="en-US"/>
    </w:rPr>
  </w:style>
  <w:style w:type="character" w:customStyle="1" w:styleId="wbformattributevalue">
    <w:name w:val="wbform_attributevalue"/>
    <w:basedOn w:val="a1"/>
    <w:qFormat/>
    <w:rPr>
      <w:rFonts w:cs="Times New Roman"/>
    </w:rPr>
  </w:style>
  <w:style w:type="character" w:customStyle="1" w:styleId="af0">
    <w:name w:val="Текст Знак"/>
    <w:basedOn w:val="a1"/>
    <w:link w:val="af"/>
    <w:uiPriority w:val="99"/>
    <w:qFormat/>
    <w:locked/>
    <w:rPr>
      <w:rFonts w:ascii="Times New Roman" w:hAnsi="Times New Roman" w:cs="Times New Roman"/>
      <w:b/>
      <w:color w:val="002060"/>
      <w:sz w:val="21"/>
      <w:szCs w:val="21"/>
      <w:lang w:eastAsia="en-US"/>
    </w:rPr>
  </w:style>
  <w:style w:type="paragraph" w:customStyle="1" w:styleId="61">
    <w:name w:val="Абзац списка6"/>
    <w:basedOn w:val="a0"/>
    <w:qFormat/>
    <w:pPr>
      <w:ind w:left="720"/>
    </w:pPr>
    <w:rPr>
      <w:rFonts w:ascii="Cambria" w:hAnsi="Cambria"/>
      <w:sz w:val="20"/>
      <w:szCs w:val="20"/>
      <w:lang w:val="en-US"/>
    </w:rPr>
  </w:style>
  <w:style w:type="paragraph" w:customStyle="1" w:styleId="afff2">
    <w:name w:val="Параграф"/>
    <w:basedOn w:val="a0"/>
    <w:qFormat/>
    <w:pPr>
      <w:spacing w:after="0" w:line="240" w:lineRule="auto"/>
      <w:jc w:val="both"/>
    </w:pPr>
    <w:rPr>
      <w:b/>
      <w:sz w:val="24"/>
      <w:szCs w:val="24"/>
    </w:rPr>
  </w:style>
  <w:style w:type="character" w:customStyle="1" w:styleId="NoSpacingChar">
    <w:name w:val="No Spacing Char"/>
    <w:link w:val="17"/>
    <w:qFormat/>
    <w:locked/>
  </w:style>
  <w:style w:type="paragraph" w:customStyle="1" w:styleId="17">
    <w:name w:val="Без интервала1"/>
    <w:link w:val="NoSpacingChar"/>
    <w:qFormat/>
    <w:rPr>
      <w:sz w:val="22"/>
      <w:szCs w:val="22"/>
    </w:rPr>
  </w:style>
  <w:style w:type="character" w:customStyle="1" w:styleId="apple-converted-space">
    <w:name w:val="apple-converted-space"/>
    <w:basedOn w:val="a1"/>
    <w:qFormat/>
    <w:rPr>
      <w:rFonts w:cs="Times New Roman"/>
    </w:rPr>
  </w:style>
  <w:style w:type="character" w:customStyle="1" w:styleId="25">
    <w:name w:val="Основной текст с отступом 2 Знак"/>
    <w:basedOn w:val="a1"/>
    <w:link w:val="24"/>
    <w:qFormat/>
    <w:locked/>
    <w:rPr>
      <w:rFonts w:ascii="Times New Roman" w:hAnsi="Times New Roman" w:cs="Times New Roman"/>
      <w:sz w:val="20"/>
      <w:szCs w:val="20"/>
      <w:lang w:val="en-US" w:eastAsia="en-US"/>
    </w:rPr>
  </w:style>
  <w:style w:type="character" w:customStyle="1" w:styleId="32">
    <w:name w:val="Основной текст с отступом 3 Знак"/>
    <w:basedOn w:val="a1"/>
    <w:link w:val="31"/>
    <w:uiPriority w:val="99"/>
    <w:qFormat/>
    <w:locked/>
    <w:rPr>
      <w:rFonts w:ascii="Times New Roman" w:hAnsi="Times New Roman" w:cs="Times New Roman"/>
      <w:sz w:val="20"/>
      <w:szCs w:val="20"/>
      <w:lang w:val="en-US" w:eastAsia="en-US"/>
    </w:rPr>
  </w:style>
  <w:style w:type="character" w:customStyle="1" w:styleId="35">
    <w:name w:val="Основной текст 3 Знак"/>
    <w:basedOn w:val="a1"/>
    <w:link w:val="34"/>
    <w:qFormat/>
    <w:locked/>
    <w:rPr>
      <w:rFonts w:ascii="Times New Roman" w:hAnsi="Times New Roman" w:cs="Times New Roman"/>
      <w:sz w:val="16"/>
      <w:szCs w:val="16"/>
      <w:lang w:val="en-US" w:eastAsia="en-US"/>
    </w:rPr>
  </w:style>
  <w:style w:type="paragraph" w:customStyle="1" w:styleId="clstext">
    <w:name w:val="clstext"/>
    <w:basedOn w:val="a0"/>
    <w:qFormat/>
    <w:pPr>
      <w:spacing w:before="100" w:beforeAutospacing="1" w:after="100" w:afterAutospacing="1" w:line="240" w:lineRule="auto"/>
      <w:jc w:val="left"/>
    </w:pPr>
    <w:rPr>
      <w:rFonts w:ascii="Arial Unicode MS" w:eastAsia="Arial Unicode MS" w:hAnsi="Arial Unicode MS" w:cs="Arial Unicode MS"/>
      <w:sz w:val="24"/>
      <w:szCs w:val="24"/>
      <w:lang w:val="en-US" w:eastAsia="en-US"/>
    </w:rPr>
  </w:style>
  <w:style w:type="paragraph" w:customStyle="1" w:styleId="xl24">
    <w:name w:val="xl24"/>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b/>
      <w:bCs/>
      <w:sz w:val="16"/>
      <w:szCs w:val="16"/>
      <w:lang w:val="en-US" w:eastAsia="en-US"/>
    </w:rPr>
  </w:style>
  <w:style w:type="paragraph" w:customStyle="1" w:styleId="xl25">
    <w:name w:val="xl25"/>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4"/>
      <w:szCs w:val="14"/>
      <w:lang w:val="en-US" w:eastAsia="en-US"/>
    </w:rPr>
  </w:style>
  <w:style w:type="paragraph" w:customStyle="1" w:styleId="xl26">
    <w:name w:val="xl26"/>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27">
    <w:name w:val="xl27"/>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28">
    <w:name w:val="xl28"/>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29">
    <w:name w:val="xl29"/>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lang w:val="en-US" w:eastAsia="en-US"/>
    </w:rPr>
  </w:style>
  <w:style w:type="paragraph" w:customStyle="1" w:styleId="xl30">
    <w:name w:val="xl30"/>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lang w:val="en-US" w:eastAsia="en-US"/>
    </w:rPr>
  </w:style>
  <w:style w:type="paragraph" w:customStyle="1" w:styleId="xl31">
    <w:name w:val="xl31"/>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b/>
      <w:bCs/>
      <w:sz w:val="16"/>
      <w:szCs w:val="16"/>
      <w:lang w:val="en-US" w:eastAsia="en-US"/>
    </w:rPr>
  </w:style>
  <w:style w:type="paragraph" w:customStyle="1" w:styleId="xl32">
    <w:name w:val="xl32"/>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33">
    <w:name w:val="xl33"/>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34">
    <w:name w:val="xl3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35">
    <w:name w:val="xl35"/>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sz w:val="14"/>
      <w:szCs w:val="14"/>
      <w:lang w:val="en-US" w:eastAsia="en-US"/>
    </w:rPr>
  </w:style>
  <w:style w:type="paragraph" w:customStyle="1" w:styleId="xl36">
    <w:name w:val="xl36"/>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4"/>
      <w:szCs w:val="14"/>
      <w:lang w:val="en-US" w:eastAsia="en-US"/>
    </w:rPr>
  </w:style>
  <w:style w:type="paragraph" w:customStyle="1" w:styleId="xl37">
    <w:name w:val="xl37"/>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38">
    <w:name w:val="xl3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39">
    <w:name w:val="xl3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Arial Unicode MS" w:hAnsi="Times New Roman CYR" w:cs="Times New Roman CYR"/>
      <w:b/>
      <w:bCs/>
      <w:sz w:val="16"/>
      <w:szCs w:val="16"/>
      <w:lang w:val="en-US" w:eastAsia="en-US"/>
    </w:rPr>
  </w:style>
  <w:style w:type="paragraph" w:customStyle="1" w:styleId="xl40">
    <w:name w:val="xl40"/>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41">
    <w:name w:val="xl41"/>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42">
    <w:name w:val="xl42"/>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3">
    <w:name w:val="xl43"/>
    <w:basedOn w:val="a0"/>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6"/>
      <w:szCs w:val="16"/>
      <w:lang w:val="en-US" w:eastAsia="en-US"/>
    </w:rPr>
  </w:style>
  <w:style w:type="paragraph" w:customStyle="1" w:styleId="xl44">
    <w:name w:val="xl4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45">
    <w:name w:val="xl4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6">
    <w:name w:val="xl46"/>
    <w:basedOn w:val="a0"/>
    <w:qFormat/>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7">
    <w:name w:val="xl47"/>
    <w:basedOn w:val="a0"/>
    <w:qFormat/>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qFormat/>
    <w:pPr>
      <w:spacing w:after="160" w:line="240" w:lineRule="exact"/>
      <w:jc w:val="left"/>
    </w:pPr>
    <w:rPr>
      <w:sz w:val="28"/>
      <w:szCs w:val="20"/>
      <w:lang w:val="en-US" w:eastAsia="en-US"/>
    </w:rPr>
  </w:style>
  <w:style w:type="paragraph" w:customStyle="1" w:styleId="2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autoRedefine/>
    <w:qFormat/>
    <w:pPr>
      <w:spacing w:after="160" w:line="240" w:lineRule="exact"/>
      <w:jc w:val="left"/>
    </w:pPr>
    <w:rPr>
      <w:sz w:val="28"/>
      <w:szCs w:val="20"/>
      <w:lang w:val="en-US" w:eastAsia="en-US"/>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qFormat/>
    <w:pPr>
      <w:spacing w:after="160" w:line="240" w:lineRule="exact"/>
      <w:jc w:val="left"/>
    </w:pPr>
    <w:rPr>
      <w:sz w:val="28"/>
      <w:szCs w:val="20"/>
      <w:lang w:val="en-US" w:eastAsia="en-US"/>
    </w:rPr>
  </w:style>
  <w:style w:type="character" w:customStyle="1" w:styleId="docaccesstitle">
    <w:name w:val="docaccess_title"/>
    <w:basedOn w:val="a1"/>
    <w:qFormat/>
    <w:rPr>
      <w:rFonts w:cs="Times New Roman"/>
    </w:rPr>
  </w:style>
  <w:style w:type="paragraph" w:customStyle="1" w:styleId="11Char">
    <w:name w:val="Знак1 Знак Знак Знак Знак Знак Знак Знак Знак1 Char"/>
    <w:basedOn w:val="a0"/>
    <w:qFormat/>
    <w:pPr>
      <w:spacing w:after="160" w:line="240" w:lineRule="exact"/>
      <w:jc w:val="left"/>
    </w:pPr>
    <w:rPr>
      <w:rFonts w:ascii="Verdana" w:hAnsi="Verdana"/>
      <w:sz w:val="20"/>
      <w:szCs w:val="20"/>
      <w:lang w:val="en-US" w:eastAsia="en-US"/>
    </w:rPr>
  </w:style>
  <w:style w:type="character" w:customStyle="1" w:styleId="310">
    <w:name w:val="Основной текст 3 Знак1"/>
    <w:basedOn w:val="a1"/>
    <w:uiPriority w:val="99"/>
    <w:semiHidden/>
    <w:qFormat/>
    <w:rPr>
      <w:rFonts w:cs="Times New Roman"/>
      <w:sz w:val="16"/>
      <w:szCs w:val="16"/>
    </w:rPr>
  </w:style>
  <w:style w:type="paragraph" w:customStyle="1" w:styleId="ConsPlusDocList">
    <w:name w:val="ConsPlusDocList"/>
    <w:qFormat/>
    <w:pPr>
      <w:widowControl w:val="0"/>
      <w:autoSpaceDE w:val="0"/>
      <w:autoSpaceDN w:val="0"/>
    </w:pPr>
    <w:rPr>
      <w:rFonts w:ascii="Courier New" w:hAnsi="Courier New" w:cs="Courier New"/>
      <w:lang w:val="en-US"/>
    </w:rPr>
  </w:style>
  <w:style w:type="paragraph" w:customStyle="1" w:styleId="ConsPlusTitlePage">
    <w:name w:val="ConsPlusTitlePage"/>
    <w:uiPriority w:val="99"/>
    <w:qFormat/>
    <w:pPr>
      <w:widowControl w:val="0"/>
      <w:autoSpaceDE w:val="0"/>
      <w:autoSpaceDN w:val="0"/>
    </w:pPr>
    <w:rPr>
      <w:rFonts w:ascii="Tahoma" w:hAnsi="Tahoma" w:cs="Tahoma"/>
      <w:lang w:val="en-US"/>
    </w:rPr>
  </w:style>
  <w:style w:type="paragraph" w:customStyle="1" w:styleId="ConsPlusJurTerm">
    <w:name w:val="ConsPlusJurTerm"/>
    <w:qFormat/>
    <w:pPr>
      <w:widowControl w:val="0"/>
      <w:autoSpaceDE w:val="0"/>
      <w:autoSpaceDN w:val="0"/>
    </w:pPr>
    <w:rPr>
      <w:rFonts w:ascii="Tahoma" w:hAnsi="Tahoma" w:cs="Tahoma"/>
      <w:sz w:val="26"/>
      <w:lang w:val="en-US"/>
    </w:rPr>
  </w:style>
  <w:style w:type="paragraph" w:customStyle="1" w:styleId="p26">
    <w:name w:val="p26"/>
    <w:basedOn w:val="a0"/>
    <w:qFormat/>
    <w:pPr>
      <w:spacing w:before="100" w:beforeAutospacing="1" w:after="100" w:afterAutospacing="1" w:line="240" w:lineRule="auto"/>
      <w:jc w:val="left"/>
    </w:pPr>
    <w:rPr>
      <w:sz w:val="24"/>
      <w:szCs w:val="24"/>
      <w:lang w:val="en-US" w:eastAsia="en-US"/>
    </w:rPr>
  </w:style>
  <w:style w:type="paragraph" w:customStyle="1" w:styleId="p44">
    <w:name w:val="p44"/>
    <w:basedOn w:val="a0"/>
    <w:qFormat/>
    <w:pPr>
      <w:spacing w:before="100" w:beforeAutospacing="1" w:after="100" w:afterAutospacing="1" w:line="240" w:lineRule="auto"/>
      <w:jc w:val="left"/>
    </w:pPr>
    <w:rPr>
      <w:sz w:val="24"/>
      <w:szCs w:val="24"/>
      <w:lang w:val="en-US" w:eastAsia="en-US"/>
    </w:rPr>
  </w:style>
  <w:style w:type="character" w:customStyle="1" w:styleId="s20">
    <w:name w:val="s20"/>
    <w:basedOn w:val="a1"/>
    <w:qFormat/>
    <w:rPr>
      <w:rFonts w:cs="Times New Roman"/>
    </w:rPr>
  </w:style>
  <w:style w:type="paragraph" w:styleId="2b">
    <w:name w:val="Quote"/>
    <w:basedOn w:val="a0"/>
    <w:next w:val="a0"/>
    <w:link w:val="2c"/>
    <w:uiPriority w:val="29"/>
    <w:qFormat/>
    <w:pPr>
      <w:jc w:val="left"/>
    </w:pPr>
    <w:rPr>
      <w:rFonts w:asciiTheme="majorHAnsi" w:eastAsiaTheme="majorEastAsia" w:hAnsiTheme="majorHAnsi"/>
      <w:i/>
      <w:iCs/>
      <w:lang w:val="en-US" w:eastAsia="en-US"/>
    </w:rPr>
  </w:style>
  <w:style w:type="character" w:customStyle="1" w:styleId="2c">
    <w:name w:val="Цитата 2 Знак"/>
    <w:basedOn w:val="a1"/>
    <w:link w:val="2b"/>
    <w:uiPriority w:val="29"/>
    <w:qFormat/>
    <w:locked/>
    <w:rPr>
      <w:rFonts w:asciiTheme="majorHAnsi" w:eastAsiaTheme="majorEastAsia" w:hAnsiTheme="majorHAnsi" w:cs="Times New Roman"/>
      <w:i/>
      <w:iCs/>
      <w:lang w:val="en-US" w:eastAsia="en-US"/>
    </w:rPr>
  </w:style>
  <w:style w:type="paragraph" w:styleId="afff4">
    <w:name w:val="Intense Quote"/>
    <w:basedOn w:val="a0"/>
    <w:next w:val="a0"/>
    <w:link w:val="afff5"/>
    <w:uiPriority w:val="30"/>
    <w:qFormat/>
    <w:pPr>
      <w:pBdr>
        <w:top w:val="single" w:sz="4" w:space="10" w:color="auto"/>
        <w:bottom w:val="single" w:sz="4" w:space="10" w:color="auto"/>
      </w:pBdr>
      <w:spacing w:before="240" w:after="240" w:line="300" w:lineRule="auto"/>
      <w:ind w:left="1152" w:right="1152"/>
      <w:jc w:val="both"/>
    </w:pPr>
    <w:rPr>
      <w:rFonts w:asciiTheme="majorHAnsi" w:eastAsiaTheme="majorEastAsia" w:hAnsiTheme="majorHAnsi"/>
      <w:i/>
      <w:iCs/>
      <w:lang w:val="en-US" w:eastAsia="en-US"/>
    </w:rPr>
  </w:style>
  <w:style w:type="character" w:customStyle="1" w:styleId="afff5">
    <w:name w:val="Выделенная цитата Знак"/>
    <w:basedOn w:val="a1"/>
    <w:link w:val="afff4"/>
    <w:uiPriority w:val="30"/>
    <w:qFormat/>
    <w:locked/>
    <w:rPr>
      <w:rFonts w:asciiTheme="majorHAnsi" w:eastAsiaTheme="majorEastAsia" w:hAnsiTheme="majorHAnsi" w:cs="Times New Roman"/>
      <w:i/>
      <w:iCs/>
      <w:lang w:val="en-US" w:eastAsia="en-US"/>
    </w:rPr>
  </w:style>
  <w:style w:type="character" w:customStyle="1" w:styleId="19">
    <w:name w:val="Слабое выделение1"/>
    <w:basedOn w:val="a1"/>
    <w:uiPriority w:val="19"/>
    <w:qFormat/>
    <w:rPr>
      <w:rFonts w:cs="Times New Roman"/>
      <w:i/>
    </w:rPr>
  </w:style>
  <w:style w:type="character" w:customStyle="1" w:styleId="1a">
    <w:name w:val="Сильное выделение1"/>
    <w:basedOn w:val="a1"/>
    <w:uiPriority w:val="21"/>
    <w:qFormat/>
    <w:rPr>
      <w:rFonts w:cs="Times New Roman"/>
      <w:b/>
      <w:i/>
    </w:rPr>
  </w:style>
  <w:style w:type="character" w:customStyle="1" w:styleId="1b">
    <w:name w:val="Слабая ссылка1"/>
    <w:basedOn w:val="a1"/>
    <w:uiPriority w:val="31"/>
    <w:qFormat/>
    <w:rPr>
      <w:rFonts w:cs="Times New Roman"/>
      <w:smallCaps/>
    </w:rPr>
  </w:style>
  <w:style w:type="character" w:customStyle="1" w:styleId="1c">
    <w:name w:val="Сильная ссылка1"/>
    <w:basedOn w:val="a1"/>
    <w:uiPriority w:val="32"/>
    <w:qFormat/>
    <w:rPr>
      <w:rFonts w:cs="Times New Roman"/>
      <w:b/>
      <w:smallCaps/>
    </w:rPr>
  </w:style>
  <w:style w:type="character" w:customStyle="1" w:styleId="1d">
    <w:name w:val="Название книги1"/>
    <w:basedOn w:val="a1"/>
    <w:uiPriority w:val="33"/>
    <w:qFormat/>
    <w:rPr>
      <w:rFonts w:cs="Times New Roman"/>
      <w:i/>
      <w:iCs/>
      <w:smallCaps/>
      <w:spacing w:val="5"/>
    </w:rPr>
  </w:style>
  <w:style w:type="paragraph" w:customStyle="1" w:styleId="1e">
    <w:name w:val="Рецензия1"/>
    <w:hidden/>
    <w:uiPriority w:val="99"/>
    <w:semiHidden/>
    <w:qFormat/>
    <w:rPr>
      <w:rFonts w:asciiTheme="majorHAnsi" w:eastAsiaTheme="majorEastAsia" w:hAnsiTheme="majorHAnsi"/>
      <w:sz w:val="22"/>
      <w:szCs w:val="22"/>
      <w:lang w:val="en-US" w:eastAsia="en-US"/>
    </w:rPr>
  </w:style>
  <w:style w:type="table" w:customStyle="1" w:styleId="-421">
    <w:name w:val="Таблица-сетка 4 — акцент 21"/>
    <w:basedOn w:val="a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rFonts w:cs="Times New Roman"/>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rFonts w:cs="Times New Roman"/>
        <w:b/>
        <w:bCs/>
      </w:rPr>
      <w:tblPr/>
      <w:tcPr>
        <w:tcBorders>
          <w:top w:val="double" w:sz="4" w:space="0" w:color="ED7D31"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hemeFill="accent2" w:themeFillTint="33"/>
      </w:tcPr>
    </w:tblStylePr>
    <w:tblStylePr w:type="band1Horz">
      <w:rPr>
        <w:rFonts w:cs="Times New Roman"/>
      </w:rPr>
      <w:tblPr/>
      <w:tcPr>
        <w:shd w:val="clear" w:color="auto" w:fill="FBE4D5" w:themeFill="accent2" w:themeFillTint="33"/>
      </w:tcPr>
    </w:tblStylePr>
  </w:style>
  <w:style w:type="character" w:customStyle="1" w:styleId="FontStyle23">
    <w:name w:val="Font Style23"/>
    <w:basedOn w:val="a1"/>
    <w:uiPriority w:val="99"/>
    <w:qFormat/>
    <w:rPr>
      <w:rFonts w:ascii="Times New Roman" w:hAnsi="Times New Roman" w:cs="Times New Roman"/>
    </w:rPr>
  </w:style>
  <w:style w:type="table" w:customStyle="1" w:styleId="-161">
    <w:name w:val="Таблица-сетка 1 светлая — акцент 61"/>
    <w:basedOn w:val="a2"/>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 w:type="table" w:customStyle="1" w:styleId="-321">
    <w:name w:val="Список-таблица 3 — акцент 21"/>
    <w:basedOn w:val="a2"/>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rFonts w:cs="Times New Roman"/>
        <w:b/>
        <w:bCs/>
        <w:color w:val="FFFFFF" w:themeColor="background1"/>
      </w:rPr>
      <w:tblPr/>
      <w:tcPr>
        <w:shd w:val="clear" w:color="auto" w:fill="ED7D31" w:themeFill="accent2"/>
      </w:tcPr>
    </w:tblStylePr>
    <w:tblStylePr w:type="lastRow">
      <w:rPr>
        <w:rFonts w:cs="Times New Roman"/>
        <w:b/>
        <w:bCs/>
      </w:rPr>
      <w:tblPr/>
      <w:tcPr>
        <w:tcBorders>
          <w:top w:val="double" w:sz="4" w:space="0" w:color="ED7D31"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ED7D31" w:themeColor="accent2"/>
          <w:right w:val="single" w:sz="4" w:space="0" w:color="ED7D31" w:themeColor="accent2"/>
        </w:tcBorders>
      </w:tcPr>
    </w:tblStylePr>
    <w:tblStylePr w:type="band1Horz">
      <w:rPr>
        <w:rFonts w:cs="Times New Roman"/>
      </w:rPr>
      <w:tblPr/>
      <w:tcPr>
        <w:tcBorders>
          <w:top w:val="single" w:sz="4" w:space="0" w:color="ED7D31" w:themeColor="accent2"/>
          <w:bottom w:val="single" w:sz="4" w:space="0" w:color="ED7D31"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ED7D31" w:themeColor="accent2"/>
          <w:left w:val="nil"/>
        </w:tcBorders>
      </w:tcPr>
    </w:tblStylePr>
    <w:tblStylePr w:type="swCell">
      <w:rPr>
        <w:rFonts w:cs="Times New Roman"/>
      </w:rPr>
      <w:tblPr/>
      <w:tcPr>
        <w:tcBorders>
          <w:top w:val="double" w:sz="4" w:space="0" w:color="ED7D31" w:themeColor="accent2"/>
          <w:right w:val="nil"/>
        </w:tcBorders>
      </w:tcPr>
    </w:tblStylePr>
  </w:style>
  <w:style w:type="table" w:customStyle="1" w:styleId="-731">
    <w:name w:val="Список-таблица 7 цветная — акцент 31"/>
    <w:basedOn w:val="a2"/>
    <w:uiPriority w:val="52"/>
    <w:qFormat/>
    <w:rPr>
      <w:color w:val="7B7B7B" w:themeColor="accent3" w:themeShade="BF"/>
    </w:rPr>
    <w:tblPr/>
    <w:tblStylePr w:type="firstRow">
      <w:rPr>
        <w:rFonts w:asciiTheme="majorHAnsi" w:eastAsiaTheme="majorEastAsia" w:hAnsiTheme="majorHAnsi" w:cs="Times New Roman"/>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A5A5A5" w:themeColor="accent3"/>
        </w:tcBorders>
        <w:shd w:val="clear" w:color="auto" w:fill="FFFFFF" w:themeFill="background1"/>
      </w:tcPr>
    </w:tblStylePr>
    <w:tblStylePr w:type="band1Vert">
      <w:rPr>
        <w:rFonts w:cs="Times New Roman"/>
      </w:rPr>
      <w:tblPr/>
      <w:tcPr>
        <w:shd w:val="clear" w:color="auto" w:fill="EDEDED" w:themeFill="accent3" w:themeFillTint="33"/>
      </w:tcPr>
    </w:tblStylePr>
    <w:tblStylePr w:type="band1Horz">
      <w:rPr>
        <w:rFonts w:cs="Times New Roman"/>
      </w:rPr>
      <w:tblPr/>
      <w:tcPr>
        <w:shd w:val="clear" w:color="auto" w:fill="EDEDED" w:themeFill="accent3"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621">
    <w:name w:val="Список-таблица 6 цветная — акцент 21"/>
    <w:basedOn w:val="a2"/>
    <w:uiPriority w:val="51"/>
    <w:qFormat/>
    <w:rPr>
      <w:color w:val="C45911" w:themeColor="accent2" w:themeShade="BF"/>
    </w:rPr>
    <w:tblPr>
      <w:tblBorders>
        <w:top w:val="single" w:sz="4" w:space="0" w:color="ED7D31" w:themeColor="accent2"/>
        <w:bottom w:val="single" w:sz="4" w:space="0" w:color="ED7D31" w:themeColor="accent2"/>
      </w:tblBorders>
    </w:tblPr>
    <w:tblStylePr w:type="firstRow">
      <w:rPr>
        <w:rFonts w:cs="Times New Roman"/>
        <w:b/>
        <w:bCs/>
      </w:rPr>
      <w:tblPr/>
      <w:tcPr>
        <w:tcBorders>
          <w:bottom w:val="single" w:sz="4" w:space="0" w:color="ED7D31" w:themeColor="accent2"/>
        </w:tcBorders>
      </w:tcPr>
    </w:tblStylePr>
    <w:tblStylePr w:type="lastRow">
      <w:rPr>
        <w:rFonts w:cs="Times New Roman"/>
        <w:b/>
        <w:bCs/>
      </w:rPr>
      <w:tblPr/>
      <w:tcPr>
        <w:tcBorders>
          <w:top w:val="double" w:sz="4" w:space="0" w:color="ED7D31"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hemeFill="accent2" w:themeFillTint="33"/>
      </w:tcPr>
    </w:tblStylePr>
    <w:tblStylePr w:type="band1Horz">
      <w:rPr>
        <w:rFonts w:cs="Times New Roman"/>
      </w:rPr>
      <w:tblPr/>
      <w:tcPr>
        <w:shd w:val="clear" w:color="auto" w:fill="FBE4D5" w:themeFill="accent2" w:themeFillTint="33"/>
      </w:tcPr>
    </w:tblStylePr>
  </w:style>
  <w:style w:type="table" w:customStyle="1" w:styleId="-661">
    <w:name w:val="Список-таблица 6 цветная — акцент 61"/>
    <w:basedOn w:val="a2"/>
    <w:uiPriority w:val="51"/>
    <w:qFormat/>
    <w:rPr>
      <w:color w:val="538135" w:themeColor="accent6" w:themeShade="BF"/>
    </w:rPr>
    <w:tblPr>
      <w:tblBorders>
        <w:top w:val="single" w:sz="4" w:space="0" w:color="70AD47" w:themeColor="accent6"/>
        <w:bottom w:val="single" w:sz="4" w:space="0" w:color="70AD47" w:themeColor="accent6"/>
      </w:tblBorders>
    </w:tblPr>
    <w:tblStylePr w:type="firstRow">
      <w:rPr>
        <w:rFonts w:cs="Times New Roman"/>
        <w:b/>
        <w:bCs/>
      </w:rPr>
      <w:tblPr/>
      <w:tcPr>
        <w:tcBorders>
          <w:bottom w:val="single" w:sz="4" w:space="0" w:color="70AD47" w:themeColor="accent6"/>
        </w:tcBorders>
      </w:tcPr>
    </w:tblStylePr>
    <w:tblStylePr w:type="lastRow">
      <w:rPr>
        <w:rFonts w:cs="Times New Roman"/>
        <w:b/>
        <w:bCs/>
      </w:rPr>
      <w:tblPr/>
      <w:tcPr>
        <w:tcBorders>
          <w:top w:val="double" w:sz="4" w:space="0" w:color="70AD47"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2EFD9" w:themeFill="accent6" w:themeFillTint="33"/>
      </w:tcPr>
    </w:tblStylePr>
    <w:tblStylePr w:type="band1Horz">
      <w:rPr>
        <w:rFonts w:cs="Times New Roman"/>
      </w:rPr>
      <w:tblPr/>
      <w:tcPr>
        <w:shd w:val="clear" w:color="auto" w:fill="E2EFD9" w:themeFill="accent6" w:themeFillTint="33"/>
      </w:tcPr>
    </w:tblStylePr>
  </w:style>
  <w:style w:type="table" w:customStyle="1" w:styleId="-111">
    <w:name w:val="Таблица-сетка 1 светлая — акцент 11"/>
    <w:basedOn w:val="a2"/>
    <w:uiPriority w:val="46"/>
    <w:qFormat/>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rFonts w:cs="Times New Roman"/>
        <w:b/>
        <w:bCs/>
      </w:rPr>
      <w:tblPr/>
      <w:tcPr>
        <w:tcBorders>
          <w:bottom w:val="single" w:sz="12" w:space="0" w:color="9CC2E5" w:themeColor="accent1" w:themeTint="99"/>
        </w:tcBorders>
      </w:tcPr>
    </w:tblStylePr>
    <w:tblStylePr w:type="lastRow">
      <w:rPr>
        <w:rFonts w:cs="Times New Roman"/>
        <w:b/>
        <w:bCs/>
      </w:rPr>
      <w:tblPr/>
      <w:tcPr>
        <w:tcBorders>
          <w:top w:val="double" w:sz="2" w:space="0" w:color="9CC2E5" w:themeColor="accent1" w:themeTint="99"/>
        </w:tcBorders>
      </w:tcPr>
    </w:tblStylePr>
    <w:tblStylePr w:type="firstCol">
      <w:rPr>
        <w:rFonts w:cs="Times New Roman"/>
        <w:b/>
        <w:bCs/>
      </w:rPr>
    </w:tblStylePr>
    <w:tblStylePr w:type="lastCol">
      <w:rPr>
        <w:rFonts w:cs="Times New Roman"/>
        <w:b/>
        <w:bCs/>
      </w:rPr>
    </w:tblStylePr>
  </w:style>
  <w:style w:type="table" w:customStyle="1" w:styleId="-341">
    <w:name w:val="Таблица-сетка 3 — акцент 41"/>
    <w:basedOn w:val="a2"/>
    <w:uiPriority w:val="48"/>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FF2CC" w:themeFill="accent4" w:themeFillTint="33"/>
      </w:tcPr>
    </w:tblStylePr>
    <w:tblStylePr w:type="band1Horz">
      <w:rPr>
        <w:rFonts w:cs="Times New Roman"/>
      </w:rPr>
      <w:tblPr/>
      <w:tcPr>
        <w:shd w:val="clear" w:color="auto" w:fill="FFF2CC" w:themeFill="accent4" w:themeFillTint="33"/>
      </w:tcPr>
    </w:tblStylePr>
    <w:tblStylePr w:type="neCell">
      <w:rPr>
        <w:rFonts w:cs="Times New Roman"/>
      </w:rPr>
      <w:tblPr/>
      <w:tcPr>
        <w:tcBorders>
          <w:bottom w:val="single" w:sz="4" w:space="0" w:color="FFD966" w:themeColor="accent4" w:themeTint="99"/>
        </w:tcBorders>
      </w:tcPr>
    </w:tblStylePr>
    <w:tblStylePr w:type="nwCell">
      <w:rPr>
        <w:rFonts w:cs="Times New Roman"/>
      </w:rPr>
      <w:tblPr/>
      <w:tcPr>
        <w:tcBorders>
          <w:bottom w:val="single" w:sz="4" w:space="0" w:color="FFD966" w:themeColor="accent4" w:themeTint="99"/>
        </w:tcBorders>
      </w:tcPr>
    </w:tblStylePr>
    <w:tblStylePr w:type="seCell">
      <w:rPr>
        <w:rFonts w:cs="Times New Roman"/>
      </w:rPr>
      <w:tblPr/>
      <w:tcPr>
        <w:tcBorders>
          <w:top w:val="single" w:sz="4" w:space="0" w:color="FFD966" w:themeColor="accent4" w:themeTint="99"/>
        </w:tcBorders>
      </w:tcPr>
    </w:tblStylePr>
    <w:tblStylePr w:type="swCell">
      <w:rPr>
        <w:rFonts w:cs="Times New Roman"/>
      </w:rPr>
      <w:tblPr/>
      <w:tcPr>
        <w:tcBorders>
          <w:top w:val="single" w:sz="4" w:space="0" w:color="FFD966" w:themeColor="accent4" w:themeTint="99"/>
        </w:tcBorders>
      </w:tcPr>
    </w:tblStylePr>
  </w:style>
  <w:style w:type="table" w:customStyle="1" w:styleId="-351">
    <w:name w:val="Таблица-сетка 3 — акцент 51"/>
    <w:basedOn w:val="a2"/>
    <w:uiPriority w:val="48"/>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tblStylePr w:type="neCell">
      <w:rPr>
        <w:rFonts w:cs="Times New Roman"/>
      </w:rPr>
      <w:tblPr/>
      <w:tcPr>
        <w:tcBorders>
          <w:bottom w:val="single" w:sz="4" w:space="0" w:color="8EAADB" w:themeColor="accent5" w:themeTint="99"/>
        </w:tcBorders>
      </w:tcPr>
    </w:tblStylePr>
    <w:tblStylePr w:type="nwCell">
      <w:rPr>
        <w:rFonts w:cs="Times New Roman"/>
      </w:rPr>
      <w:tblPr/>
      <w:tcPr>
        <w:tcBorders>
          <w:bottom w:val="single" w:sz="4" w:space="0" w:color="8EAADB" w:themeColor="accent5" w:themeTint="99"/>
        </w:tcBorders>
      </w:tcPr>
    </w:tblStylePr>
    <w:tblStylePr w:type="seCell">
      <w:rPr>
        <w:rFonts w:cs="Times New Roman"/>
      </w:rPr>
      <w:tblPr/>
      <w:tcPr>
        <w:tcBorders>
          <w:top w:val="single" w:sz="4" w:space="0" w:color="8EAADB" w:themeColor="accent5" w:themeTint="99"/>
        </w:tcBorders>
      </w:tcPr>
    </w:tblStylePr>
    <w:tblStylePr w:type="swCell">
      <w:rPr>
        <w:rFonts w:cs="Times New Roman"/>
      </w:rPr>
      <w:tblPr/>
      <w:tcPr>
        <w:tcBorders>
          <w:top w:val="single" w:sz="4" w:space="0" w:color="8EAADB" w:themeColor="accent5" w:themeTint="99"/>
        </w:tcBorders>
      </w:tcPr>
    </w:tblStylePr>
  </w:style>
  <w:style w:type="table" w:customStyle="1" w:styleId="-361">
    <w:name w:val="Список-таблица 3 — акцент 61"/>
    <w:basedOn w:val="a2"/>
    <w:uiPriority w:val="48"/>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rFonts w:cs="Times New Roman"/>
        <w:b/>
        <w:bCs/>
        <w:color w:val="FFFFFF" w:themeColor="background1"/>
      </w:rPr>
      <w:tblPr/>
      <w:tcPr>
        <w:shd w:val="clear" w:color="auto" w:fill="70AD47" w:themeFill="accent6"/>
      </w:tcPr>
    </w:tblStylePr>
    <w:tblStylePr w:type="lastRow">
      <w:rPr>
        <w:rFonts w:cs="Times New Roman"/>
        <w:b/>
        <w:bCs/>
      </w:rPr>
      <w:tblPr/>
      <w:tcPr>
        <w:tcBorders>
          <w:top w:val="double" w:sz="4" w:space="0" w:color="70AD47" w:themeColor="accent6"/>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70AD47" w:themeColor="accent6"/>
          <w:right w:val="single" w:sz="4" w:space="0" w:color="70AD47" w:themeColor="accent6"/>
        </w:tcBorders>
      </w:tcPr>
    </w:tblStylePr>
    <w:tblStylePr w:type="band1Horz">
      <w:rPr>
        <w:rFonts w:cs="Times New Roman"/>
      </w:rPr>
      <w:tblPr/>
      <w:tcPr>
        <w:tcBorders>
          <w:top w:val="single" w:sz="4" w:space="0" w:color="70AD47" w:themeColor="accent6"/>
          <w:bottom w:val="single" w:sz="4" w:space="0" w:color="70AD47" w:themeColor="accent6"/>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70AD47" w:themeColor="accent6"/>
          <w:left w:val="nil"/>
        </w:tcBorders>
      </w:tcPr>
    </w:tblStylePr>
    <w:tblStylePr w:type="swCell">
      <w:rPr>
        <w:rFonts w:cs="Times New Roman"/>
      </w:rPr>
      <w:tblPr/>
      <w:tcPr>
        <w:tcBorders>
          <w:top w:val="double" w:sz="4" w:space="0" w:color="70AD47" w:themeColor="accent6"/>
          <w:right w:val="nil"/>
        </w:tcBorders>
      </w:tcPr>
    </w:tblStylePr>
  </w:style>
  <w:style w:type="table" w:customStyle="1" w:styleId="-641">
    <w:name w:val="Список-таблица 6 цветная — акцент 41"/>
    <w:basedOn w:val="a2"/>
    <w:uiPriority w:val="51"/>
    <w:qFormat/>
    <w:rPr>
      <w:color w:val="BF8F00" w:themeColor="accent4" w:themeShade="BF"/>
    </w:rPr>
    <w:tblPr>
      <w:tblBorders>
        <w:top w:val="single" w:sz="4" w:space="0" w:color="FFC000" w:themeColor="accent4"/>
        <w:bottom w:val="single" w:sz="4" w:space="0" w:color="FFC000" w:themeColor="accent4"/>
      </w:tblBorders>
    </w:tblPr>
    <w:tblStylePr w:type="firstRow">
      <w:rPr>
        <w:rFonts w:cs="Times New Roman"/>
        <w:b/>
        <w:bCs/>
      </w:rPr>
      <w:tblPr/>
      <w:tcPr>
        <w:tcBorders>
          <w:bottom w:val="single" w:sz="4" w:space="0" w:color="FFC000" w:themeColor="accent4"/>
        </w:tcBorders>
      </w:tcPr>
    </w:tblStylePr>
    <w:tblStylePr w:type="lastRow">
      <w:rPr>
        <w:rFonts w:cs="Times New Roman"/>
        <w:b/>
        <w:bCs/>
      </w:rPr>
      <w:tblPr/>
      <w:tcPr>
        <w:tcBorders>
          <w:top w:val="double" w:sz="4" w:space="0" w:color="FFC000"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hemeFill="accent4" w:themeFillTint="33"/>
      </w:tcPr>
    </w:tblStylePr>
    <w:tblStylePr w:type="band1Horz">
      <w:rPr>
        <w:rFonts w:cs="Times New Roman"/>
      </w:rPr>
      <w:tblPr/>
      <w:tcPr>
        <w:shd w:val="clear" w:color="auto" w:fill="FFF2CC" w:themeFill="accent4" w:themeFillTint="33"/>
      </w:tcPr>
    </w:tblStylePr>
  </w:style>
  <w:style w:type="table" w:customStyle="1" w:styleId="-131">
    <w:name w:val="Таблица-сетка 1 светлая — акцент 31"/>
    <w:basedOn w:val="a2"/>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rFonts w:cs="Times New Roman"/>
        <w:b/>
        <w:bCs/>
      </w:rPr>
      <w:tblPr/>
      <w:tcPr>
        <w:tcBorders>
          <w:bottom w:val="single" w:sz="12" w:space="0" w:color="C9C9C9" w:themeColor="accent3" w:themeTint="99"/>
        </w:tcBorders>
      </w:tcPr>
    </w:tblStylePr>
    <w:tblStylePr w:type="lastRow">
      <w:rPr>
        <w:rFonts w:cs="Times New Roman"/>
        <w:b/>
        <w:bCs/>
      </w:rPr>
      <w:tblPr/>
      <w:tcPr>
        <w:tcBorders>
          <w:top w:val="double" w:sz="2" w:space="0" w:color="C9C9C9" w:themeColor="accent3" w:themeTint="99"/>
        </w:tcBorders>
      </w:tcPr>
    </w:tblStylePr>
    <w:tblStylePr w:type="firstCol">
      <w:rPr>
        <w:rFonts w:cs="Times New Roman"/>
        <w:b/>
        <w:bCs/>
      </w:rPr>
    </w:tblStylePr>
    <w:tblStylePr w:type="lastCol">
      <w:rPr>
        <w:rFonts w:cs="Times New Roman"/>
        <w:b/>
        <w:bCs/>
      </w:rPr>
    </w:tblStylePr>
  </w:style>
  <w:style w:type="table" w:customStyle="1" w:styleId="-121">
    <w:name w:val="Таблица-сетка 1 светлая — акцент 21"/>
    <w:basedOn w:val="a2"/>
    <w:uiPriority w:val="46"/>
    <w:qFormat/>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rFonts w:cs="Times New Roman"/>
        <w:b/>
        <w:bCs/>
      </w:rPr>
      <w:tblPr/>
      <w:tcPr>
        <w:tcBorders>
          <w:bottom w:val="single" w:sz="12" w:space="0" w:color="F4B083" w:themeColor="accent2" w:themeTint="99"/>
        </w:tcBorders>
      </w:tcPr>
    </w:tblStylePr>
    <w:tblStylePr w:type="lastRow">
      <w:rPr>
        <w:rFonts w:cs="Times New Roman"/>
        <w:b/>
        <w:bCs/>
      </w:rPr>
      <w:tblPr/>
      <w:tcPr>
        <w:tcBorders>
          <w:top w:val="double" w:sz="2" w:space="0" w:color="F4B083" w:themeColor="accent2" w:themeTint="99"/>
        </w:tcBorders>
      </w:tcPr>
    </w:tblStylePr>
    <w:tblStylePr w:type="firstCol">
      <w:rPr>
        <w:rFonts w:cs="Times New Roman"/>
        <w:b/>
        <w:bCs/>
      </w:rPr>
    </w:tblStylePr>
    <w:tblStylePr w:type="lastCol">
      <w:rPr>
        <w:rFonts w:cs="Times New Roman"/>
        <w:b/>
        <w:bCs/>
      </w:rPr>
    </w:tblStylePr>
  </w:style>
  <w:style w:type="paragraph" w:customStyle="1" w:styleId="consplustitlemailrucssattributepostfix">
    <w:name w:val="consplustitlemailrucssattributepostfix"/>
    <w:basedOn w:val="a0"/>
    <w:qFormat/>
    <w:pPr>
      <w:spacing w:before="100" w:beforeAutospacing="1" w:after="100" w:afterAutospacing="1" w:line="240" w:lineRule="auto"/>
      <w:jc w:val="left"/>
    </w:pPr>
    <w:rPr>
      <w:rFonts w:eastAsia="Times New Roman"/>
      <w:sz w:val="24"/>
      <w:szCs w:val="24"/>
    </w:rPr>
  </w:style>
  <w:style w:type="paragraph" w:customStyle="1" w:styleId="afff6">
    <w:name w:val="Прижатый влево"/>
    <w:basedOn w:val="a0"/>
    <w:next w:val="a0"/>
    <w:uiPriority w:val="99"/>
    <w:qFormat/>
    <w:pPr>
      <w:autoSpaceDE w:val="0"/>
      <w:autoSpaceDN w:val="0"/>
      <w:adjustRightInd w:val="0"/>
      <w:spacing w:after="0" w:line="240" w:lineRule="auto"/>
      <w:jc w:val="left"/>
    </w:pPr>
    <w:rPr>
      <w:rFonts w:ascii="Arial" w:hAnsi="Arial" w:cs="Arial"/>
      <w:sz w:val="24"/>
      <w:szCs w:val="24"/>
    </w:rPr>
  </w:style>
  <w:style w:type="table" w:customStyle="1" w:styleId="-511">
    <w:name w:val="Список-таблица 5 темная — акцент 11"/>
    <w:basedOn w:val="a2"/>
    <w:uiPriority w:val="50"/>
    <w:qFormat/>
    <w:rPr>
      <w:rFonts w:cstheme="minorBidi"/>
      <w:color w:val="FFFFFF" w:themeColor="background1"/>
      <w:lang w:eastAsia="en-US"/>
    </w:rPr>
    <w:tblPr>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Список-таблица 6 цветная — акцент 11"/>
    <w:basedOn w:val="a2"/>
    <w:uiPriority w:val="51"/>
    <w:qFormat/>
    <w:rPr>
      <w:color w:val="2E74B5" w:themeColor="accent1" w:themeShade="BF"/>
    </w:rPr>
    <w:tblPr>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721">
    <w:name w:val="Таблица-сетка 7 цветная — акцент 21"/>
    <w:basedOn w:val="a2"/>
    <w:uiPriority w:val="52"/>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411">
    <w:name w:val="Таблица-сетка 4 — акцент 11"/>
    <w:basedOn w:val="a2"/>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61">
    <w:name w:val="Список-таблица 2 — акцент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610">
    <w:name w:val="Список-таблица 1 светлая — акцент 61"/>
    <w:basedOn w:val="a2"/>
    <w:uiPriority w:val="46"/>
    <w:qFormat/>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62">
    <w:name w:val="Таблица-сетка 1 светлая — акцент 62"/>
    <w:basedOn w:val="a2"/>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3">
    <w:name w:val="Light Shading Accent 3"/>
    <w:basedOn w:val="a2"/>
    <w:uiPriority w:val="60"/>
    <w:qFormat/>
    <w:rPr>
      <w:rFonts w:eastAsiaTheme="minorHAnsi" w:cstheme="minorBidi"/>
      <w:color w:val="7B7B7B" w:themeColor="accent3" w:themeShade="BF"/>
      <w:lang w:eastAsia="en-US"/>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151">
    <w:name w:val="Таблица-сетка 1 светлая — акцент 51"/>
    <w:basedOn w:val="a2"/>
    <w:uiPriority w:val="46"/>
    <w:qFormat/>
    <w:rPr>
      <w:rFonts w:eastAsiaTheme="minorHAnsi" w:cstheme="minorBidi"/>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font5">
    <w:name w:val="font5"/>
    <w:basedOn w:val="a0"/>
    <w:qFormat/>
    <w:pPr>
      <w:spacing w:before="100" w:beforeAutospacing="1" w:after="100" w:afterAutospacing="1" w:line="240" w:lineRule="auto"/>
      <w:jc w:val="left"/>
    </w:pPr>
    <w:rPr>
      <w:rFonts w:eastAsia="Times New Roman"/>
      <w:color w:val="FF0000"/>
      <w:sz w:val="18"/>
      <w:szCs w:val="18"/>
    </w:rPr>
  </w:style>
  <w:style w:type="paragraph" w:customStyle="1" w:styleId="xl65">
    <w:name w:val="xl65"/>
    <w:basedOn w:val="a0"/>
    <w:qFormat/>
    <w:pPr>
      <w:spacing w:before="100" w:beforeAutospacing="1" w:after="100" w:afterAutospacing="1" w:line="240" w:lineRule="auto"/>
      <w:jc w:val="left"/>
    </w:pPr>
    <w:rPr>
      <w:rFonts w:eastAsia="Times New Roman"/>
      <w:sz w:val="24"/>
      <w:szCs w:val="24"/>
    </w:rPr>
  </w:style>
  <w:style w:type="paragraph" w:customStyle="1" w:styleId="xl66">
    <w:name w:val="xl66"/>
    <w:basedOn w:val="a0"/>
    <w:qFormat/>
    <w:pPr>
      <w:spacing w:before="100" w:beforeAutospacing="1" w:after="100" w:afterAutospacing="1" w:line="240" w:lineRule="auto"/>
      <w:jc w:val="left"/>
    </w:pPr>
    <w:rPr>
      <w:rFonts w:eastAsia="Times New Roman"/>
      <w:sz w:val="24"/>
      <w:szCs w:val="24"/>
    </w:rPr>
  </w:style>
  <w:style w:type="paragraph" w:customStyle="1" w:styleId="xl67">
    <w:name w:val="xl67"/>
    <w:basedOn w:val="a0"/>
    <w:qFormat/>
    <w:pPr>
      <w:spacing w:before="100" w:beforeAutospacing="1" w:after="100" w:afterAutospacing="1" w:line="240" w:lineRule="auto"/>
    </w:pPr>
    <w:rPr>
      <w:rFonts w:eastAsia="Times New Roman"/>
      <w:sz w:val="24"/>
      <w:szCs w:val="24"/>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1">
    <w:name w:val="xl71"/>
    <w:basedOn w:val="a0"/>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rPr>
  </w:style>
  <w:style w:type="paragraph" w:customStyle="1" w:styleId="xl73">
    <w:name w:val="xl7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5">
    <w:name w:val="xl7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0"/>
      <w:szCs w:val="20"/>
    </w:rPr>
  </w:style>
  <w:style w:type="paragraph" w:customStyle="1" w:styleId="xl77">
    <w:name w:val="xl7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9">
    <w:name w:val="xl79"/>
    <w:basedOn w:val="a0"/>
    <w:qFormat/>
    <w:pPr>
      <w:spacing w:before="100" w:beforeAutospacing="1" w:after="100" w:afterAutospacing="1" w:line="240" w:lineRule="auto"/>
      <w:jc w:val="left"/>
    </w:pPr>
    <w:rPr>
      <w:rFonts w:eastAsia="Times New Roman"/>
      <w:sz w:val="20"/>
      <w:szCs w:val="20"/>
    </w:rPr>
  </w:style>
  <w:style w:type="paragraph" w:customStyle="1" w:styleId="xl80">
    <w:name w:val="xl80"/>
    <w:basedOn w:val="a0"/>
    <w:qFormat/>
    <w:pPr>
      <w:spacing w:before="100" w:beforeAutospacing="1" w:after="100" w:afterAutospacing="1" w:line="240" w:lineRule="auto"/>
    </w:pPr>
    <w:rPr>
      <w:rFonts w:eastAsia="Times New Roman"/>
      <w:sz w:val="20"/>
      <w:szCs w:val="20"/>
    </w:rPr>
  </w:style>
  <w:style w:type="paragraph" w:customStyle="1" w:styleId="xl81">
    <w:name w:val="xl81"/>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2">
    <w:name w:val="xl8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3">
    <w:name w:val="xl8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63">
    <w:name w:val="xl6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64">
    <w:name w:val="xl6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87">
    <w:name w:val="xl8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88">
    <w:name w:val="xl8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9">
    <w:name w:val="xl8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0">
    <w:name w:val="xl9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92">
    <w:name w:val="xl9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3">
    <w:name w:val="xl9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4">
    <w:name w:val="xl9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5">
    <w:name w:val="xl9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6">
    <w:name w:val="xl9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7">
    <w:name w:val="xl9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8">
    <w:name w:val="xl9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rPr>
  </w:style>
  <w:style w:type="character" w:customStyle="1" w:styleId="af5">
    <w:name w:val="Тема примечания Знак"/>
    <w:basedOn w:val="af3"/>
    <w:link w:val="af4"/>
    <w:uiPriority w:val="99"/>
    <w:semiHidden/>
    <w:qFormat/>
    <w:rPr>
      <w:rFonts w:ascii="Times New Roman" w:eastAsiaTheme="minorHAnsi" w:hAnsi="Times New Roman" w:cs="Times New Roman"/>
      <w:b/>
      <w:bCs/>
      <w:sz w:val="20"/>
      <w:szCs w:val="20"/>
      <w:lang w:eastAsia="en-US"/>
    </w:rPr>
  </w:style>
  <w:style w:type="paragraph" w:customStyle="1" w:styleId="msonormalmailrucssattributepostfix">
    <w:name w:val="msonormal_mailru_css_attribute_postfix"/>
    <w:basedOn w:val="a0"/>
    <w:qFormat/>
    <w:pPr>
      <w:spacing w:before="100" w:beforeAutospacing="1" w:after="100" w:afterAutospacing="1" w:line="240" w:lineRule="auto"/>
      <w:jc w:val="left"/>
    </w:pPr>
    <w:rPr>
      <w:rFonts w:eastAsia="Calibri"/>
      <w:sz w:val="24"/>
      <w:szCs w:val="24"/>
    </w:rPr>
  </w:style>
  <w:style w:type="paragraph" w:customStyle="1" w:styleId="font6">
    <w:name w:val="font6"/>
    <w:basedOn w:val="a0"/>
    <w:qFormat/>
    <w:pPr>
      <w:spacing w:before="100" w:beforeAutospacing="1" w:after="100" w:afterAutospacing="1" w:line="240" w:lineRule="auto"/>
      <w:jc w:val="left"/>
    </w:pPr>
    <w:rPr>
      <w:rFonts w:eastAsia="Times New Roman"/>
      <w:color w:val="FF0000"/>
      <w:sz w:val="18"/>
      <w:szCs w:val="18"/>
    </w:rPr>
  </w:style>
  <w:style w:type="paragraph" w:customStyle="1" w:styleId="font7">
    <w:name w:val="font7"/>
    <w:basedOn w:val="a0"/>
    <w:qFormat/>
    <w:pPr>
      <w:spacing w:before="100" w:beforeAutospacing="1" w:after="100" w:afterAutospacing="1" w:line="240" w:lineRule="auto"/>
      <w:jc w:val="left"/>
    </w:pPr>
    <w:rPr>
      <w:rFonts w:eastAsia="Times New Roman"/>
      <w:color w:val="000000"/>
      <w:sz w:val="18"/>
      <w:szCs w:val="18"/>
    </w:rPr>
  </w:style>
  <w:style w:type="paragraph" w:customStyle="1" w:styleId="xl100">
    <w:name w:val="xl10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Times New Roman" w:hAnsi="Times New Roman CYR" w:cs="Times New Roman CYR"/>
      <w:sz w:val="24"/>
      <w:szCs w:val="24"/>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color w:val="000000"/>
      <w:sz w:val="24"/>
      <w:szCs w:val="24"/>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i/>
      <w:iCs/>
      <w:color w:val="000000"/>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i/>
      <w:iCs/>
      <w:color w:val="EF2345"/>
      <w:sz w:val="16"/>
      <w:szCs w:val="16"/>
    </w:rPr>
  </w:style>
  <w:style w:type="paragraph" w:customStyle="1" w:styleId="xl106">
    <w:name w:val="xl106"/>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07">
    <w:name w:val="xl107"/>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rPr>
  </w:style>
  <w:style w:type="paragraph" w:customStyle="1" w:styleId="xl108">
    <w:name w:val="xl108"/>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09">
    <w:name w:val="xl109"/>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10">
    <w:name w:val="xl110"/>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CYR" w:eastAsia="Times New Roman" w:hAnsi="Times New Roman CYR" w:cs="Times New Roman CYR"/>
      <w:sz w:val="16"/>
      <w:szCs w:val="16"/>
    </w:rPr>
  </w:style>
  <w:style w:type="paragraph" w:customStyle="1" w:styleId="xl111">
    <w:name w:val="xl111"/>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CYR" w:eastAsia="Times New Roman" w:hAnsi="Times New Roman CYR" w:cs="Times New Roman CYR"/>
      <w:b/>
      <w:bCs/>
      <w:sz w:val="16"/>
      <w:szCs w:val="16"/>
    </w:rPr>
  </w:style>
  <w:style w:type="paragraph" w:customStyle="1" w:styleId="xl112">
    <w:name w:val="xl112"/>
    <w:basedOn w:val="a0"/>
    <w:qFormat/>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16"/>
      <w:szCs w:val="16"/>
    </w:rPr>
  </w:style>
  <w:style w:type="paragraph" w:customStyle="1" w:styleId="xl113">
    <w:name w:val="xl113"/>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4">
    <w:name w:val="xl114"/>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5">
    <w:name w:val="xl115"/>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6">
    <w:name w:val="xl116"/>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7">
    <w:name w:val="xl117"/>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18">
    <w:name w:val="xl118"/>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19">
    <w:name w:val="xl119"/>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0">
    <w:name w:val="xl120"/>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bCs/>
      <w:sz w:val="24"/>
      <w:szCs w:val="24"/>
    </w:rPr>
  </w:style>
  <w:style w:type="paragraph" w:customStyle="1" w:styleId="xl121">
    <w:name w:val="xl121"/>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eastAsia="Times New Roman"/>
      <w:sz w:val="24"/>
      <w:szCs w:val="24"/>
    </w:rPr>
  </w:style>
  <w:style w:type="paragraph" w:customStyle="1" w:styleId="xl122">
    <w:name w:val="xl122"/>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23">
    <w:name w:val="xl123"/>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24">
    <w:name w:val="xl124"/>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5">
    <w:name w:val="xl125"/>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6">
    <w:name w:val="xl126"/>
    <w:basedOn w:val="a0"/>
    <w:qFormat/>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7">
    <w:name w:val="xl127"/>
    <w:basedOn w:val="a0"/>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7E7C1C-B991-404C-B4CF-900F33045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16</Pages>
  <Words>3693</Words>
  <Characters>21055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Отчёт
 об исполнении бюджета города Ханты-Мансийска</vt:lpstr>
    </vt:vector>
  </TitlesOfParts>
  <Company>ПОЯСНИТЕЛЬНАЯ  ЗАПИСКА</Company>
  <LinksUpToDate>false</LinksUpToDate>
  <CharactersWithSpaces>24699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об исполнении бюджета города Ханты-Мансийска</dc:title>
  <dc:subject>за 2018 год</dc:subject>
  <dc:creator>snisarenko</dc:creator>
  <cp:lastModifiedBy>Admin</cp:lastModifiedBy>
  <cp:revision>3</cp:revision>
  <cp:lastPrinted>2025-04-18T09:32:00Z</cp:lastPrinted>
  <dcterms:created xsi:type="dcterms:W3CDTF">2025-04-18T09:29:00Z</dcterms:created>
  <dcterms:modified xsi:type="dcterms:W3CDTF">2025-04-18T11:37:00Z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1049-12.2.0.20782</vt:lpwstr>
  </property>
  <property fmtid="{D5CDD505-2E9C-101B-9397-08002B2CF9AE}" pid="3" name="ICV">
    <vt:lpwstr>383FCF5276BE46B4B3E67B057541706A_12</vt:lpwstr>
  </property>
</Properties>
</file>